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CA8B9" w14:textId="7D0BDC1B" w:rsidR="00C4471E" w:rsidRDefault="00C4471E" w:rsidP="00C4471E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14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02D19521" w14:textId="30B956C4" w:rsidR="00C4471E" w:rsidRDefault="00C4471E" w:rsidP="00C4471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3D52D740" w14:textId="77777777" w:rsidR="00C4471E" w:rsidRDefault="00C4471E" w:rsidP="00C4471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2E1877F0" w14:textId="77777777" w:rsidR="00C4471E" w:rsidRDefault="00C4471E" w:rsidP="00C4471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7BBDF9D1" w14:textId="6D4CECA3" w:rsidR="00C4471E" w:rsidRDefault="00C4471E" w:rsidP="00C4471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102F5B1E" w14:textId="77777777" w:rsidR="00C4471E" w:rsidRDefault="00C4471E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5B6015C0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6to Grado</w:t>
      </w:r>
    </w:p>
    <w:p w14:paraId="77989C0C" w14:textId="1D2CB95C" w:rsidR="002E23F0" w:rsidRPr="00C825A1" w:rsidRDefault="002E23F0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036"/>
        <w:gridCol w:w="3001"/>
        <w:gridCol w:w="1723"/>
        <w:gridCol w:w="2872"/>
        <w:gridCol w:w="3758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59359916" w:rsidR="00AD1658" w:rsidRPr="00AD1658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B768E2">
        <w:tc>
          <w:tcPr>
            <w:tcW w:w="3080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8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0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6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B768E2" w:rsidRPr="00AD1658" w14:paraId="3E0896F7" w14:textId="77777777" w:rsidTr="00B768E2">
        <w:tc>
          <w:tcPr>
            <w:tcW w:w="3080" w:type="dxa"/>
            <w:vAlign w:val="center"/>
          </w:tcPr>
          <w:p w14:paraId="2615CD50" w14:textId="6B756CD1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028" w:type="dxa"/>
            <w:vAlign w:val="center"/>
          </w:tcPr>
          <w:p w14:paraId="5D4B613D" w14:textId="77777777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2FDE5048" w14:textId="77777777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7EBA9BF1" w14:textId="77777777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57FD58D2" w14:textId="77777777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2D724138" w14:textId="2D455C43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</w:p>
        </w:tc>
        <w:tc>
          <w:tcPr>
            <w:tcW w:w="1566" w:type="dxa"/>
            <w:vAlign w:val="center"/>
          </w:tcPr>
          <w:p w14:paraId="64A9A3A4" w14:textId="77777777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Aula.</w:t>
            </w:r>
          </w:p>
          <w:p w14:paraId="133CBBF1" w14:textId="5AF7B9C5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Páginas de la 86 a la 95.</w:t>
            </w:r>
          </w:p>
        </w:tc>
        <w:tc>
          <w:tcPr>
            <w:tcW w:w="2910" w:type="dxa"/>
            <w:vAlign w:val="center"/>
          </w:tcPr>
          <w:p w14:paraId="1C02C1AD" w14:textId="2426D8E0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¿Por qué ellos sí y nosotras no?</w:t>
            </w:r>
          </w:p>
        </w:tc>
        <w:tc>
          <w:tcPr>
            <w:tcW w:w="3806" w:type="dxa"/>
            <w:vAlign w:val="center"/>
          </w:tcPr>
          <w:p w14:paraId="30CCDB5F" w14:textId="1DE086BA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Dialogar y tomar decisiones en comunidades para elaborar un diario de acuerdos del aula que difundirán en la escuela.</w:t>
            </w:r>
          </w:p>
        </w:tc>
      </w:tr>
      <w:tr w:rsidR="00B768E2" w:rsidRPr="00AD1658" w14:paraId="11363062" w14:textId="77777777" w:rsidTr="00B768E2">
        <w:tc>
          <w:tcPr>
            <w:tcW w:w="3080" w:type="dxa"/>
            <w:vAlign w:val="center"/>
          </w:tcPr>
          <w:p w14:paraId="6A945832" w14:textId="18979B02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 xml:space="preserve">De lo humano y lo comunitario </w:t>
            </w:r>
          </w:p>
        </w:tc>
        <w:tc>
          <w:tcPr>
            <w:tcW w:w="3028" w:type="dxa"/>
            <w:vAlign w:val="center"/>
          </w:tcPr>
          <w:p w14:paraId="6392E218" w14:textId="77777777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58086788" w14:textId="14F8AF1A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</w:tc>
        <w:tc>
          <w:tcPr>
            <w:tcW w:w="1566" w:type="dxa"/>
            <w:vAlign w:val="center"/>
          </w:tcPr>
          <w:p w14:paraId="499D53A1" w14:textId="77777777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55789F6D" w14:textId="339E1AF6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Páginas de la 316 a la 329.</w:t>
            </w:r>
          </w:p>
        </w:tc>
        <w:tc>
          <w:tcPr>
            <w:tcW w:w="2910" w:type="dxa"/>
            <w:vAlign w:val="center"/>
          </w:tcPr>
          <w:p w14:paraId="0F88FC55" w14:textId="39209C78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Mujeres y hombres caminamos codo a codo sin discriminar.</w:t>
            </w:r>
          </w:p>
        </w:tc>
        <w:tc>
          <w:tcPr>
            <w:tcW w:w="3806" w:type="dxa"/>
            <w:vAlign w:val="center"/>
          </w:tcPr>
          <w:p w14:paraId="1544F34B" w14:textId="7FE2931E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Reflexionar sobre la discriminación y participar en una conferencia como actividad educativa en la escuela y con la familia para la creación de espacios que promuevan la equidad, la inclusión y la igualdad.</w:t>
            </w:r>
          </w:p>
        </w:tc>
      </w:tr>
      <w:tr w:rsidR="00B768E2" w:rsidRPr="00AD1658" w14:paraId="28903A2D" w14:textId="77777777" w:rsidTr="00B768E2">
        <w:tc>
          <w:tcPr>
            <w:tcW w:w="3080" w:type="dxa"/>
            <w:vAlign w:val="center"/>
          </w:tcPr>
          <w:p w14:paraId="66EAD28D" w14:textId="35F573D7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 xml:space="preserve">Lenguajes </w:t>
            </w:r>
          </w:p>
        </w:tc>
        <w:tc>
          <w:tcPr>
            <w:tcW w:w="3028" w:type="dxa"/>
            <w:vAlign w:val="center"/>
          </w:tcPr>
          <w:p w14:paraId="792A6C2C" w14:textId="77777777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599C58D7" w14:textId="6B84CDE4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</w:tc>
        <w:tc>
          <w:tcPr>
            <w:tcW w:w="1566" w:type="dxa"/>
            <w:vAlign w:val="center"/>
          </w:tcPr>
          <w:p w14:paraId="0CB349AB" w14:textId="77777777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Comunitario.</w:t>
            </w:r>
          </w:p>
          <w:p w14:paraId="5E092657" w14:textId="551DE5EF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Páginas de la 10 a la 19.</w:t>
            </w:r>
          </w:p>
        </w:tc>
        <w:tc>
          <w:tcPr>
            <w:tcW w:w="2910" w:type="dxa"/>
            <w:vAlign w:val="center"/>
          </w:tcPr>
          <w:p w14:paraId="2010C993" w14:textId="72C1A293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Textos discontinuos para la igualdad.</w:t>
            </w:r>
          </w:p>
        </w:tc>
        <w:tc>
          <w:tcPr>
            <w:tcW w:w="3806" w:type="dxa"/>
            <w:vAlign w:val="center"/>
          </w:tcPr>
          <w:p w14:paraId="3F11CA71" w14:textId="7749328A" w:rsidR="00B768E2" w:rsidRPr="00B768E2" w:rsidRDefault="00B768E2" w:rsidP="00B768E2">
            <w:pPr>
              <w:rPr>
                <w:rFonts w:ascii="Century Gothic" w:hAnsi="Century Gothic"/>
                <w:sz w:val="24"/>
                <w:szCs w:val="24"/>
              </w:rPr>
            </w:pPr>
            <w:r w:rsidRPr="00B768E2">
              <w:rPr>
                <w:rFonts w:ascii="Century Gothic" w:hAnsi="Century Gothic"/>
                <w:sz w:val="24"/>
                <w:szCs w:val="24"/>
              </w:rPr>
              <w:t>Elaborar textos discontinuos para organizar y presentar información sobre los roles de género, con la finalidad de fomentar la realización de otras actividades que corresponden tradicionalmente a mujeres y hombres.</w:t>
            </w:r>
          </w:p>
        </w:tc>
      </w:tr>
    </w:tbl>
    <w:p w14:paraId="099E919D" w14:textId="77777777" w:rsidR="002F59BC" w:rsidRDefault="002F59BC"/>
    <w:sectPr w:rsidR="002F59BC" w:rsidSect="00D56827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79D88" w14:textId="77777777" w:rsidR="00D56827" w:rsidRDefault="00D56827" w:rsidP="00C825A1">
      <w:pPr>
        <w:spacing w:after="0" w:line="240" w:lineRule="auto"/>
      </w:pPr>
      <w:r>
        <w:separator/>
      </w:r>
    </w:p>
  </w:endnote>
  <w:endnote w:type="continuationSeparator" w:id="0">
    <w:p w14:paraId="0B849E82" w14:textId="77777777" w:rsidR="00D56827" w:rsidRDefault="00D56827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E6319" w14:textId="77777777" w:rsidR="00D56827" w:rsidRDefault="00D56827" w:rsidP="00C825A1">
      <w:pPr>
        <w:spacing w:after="0" w:line="240" w:lineRule="auto"/>
      </w:pPr>
      <w:r>
        <w:separator/>
      </w:r>
    </w:p>
  </w:footnote>
  <w:footnote w:type="continuationSeparator" w:id="0">
    <w:p w14:paraId="25C92DE7" w14:textId="77777777" w:rsidR="00D56827" w:rsidRDefault="00D56827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13749"/>
    <w:rsid w:val="002E23F0"/>
    <w:rsid w:val="002F59BC"/>
    <w:rsid w:val="004104AA"/>
    <w:rsid w:val="009A5BC5"/>
    <w:rsid w:val="00A40719"/>
    <w:rsid w:val="00AD1658"/>
    <w:rsid w:val="00B474F4"/>
    <w:rsid w:val="00B51E4C"/>
    <w:rsid w:val="00B768E2"/>
    <w:rsid w:val="00C4471E"/>
    <w:rsid w:val="00C65812"/>
    <w:rsid w:val="00C825A1"/>
    <w:rsid w:val="00C82D7E"/>
    <w:rsid w:val="00D56827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2024-04-07T02:45:00Z</dcterms:modified>
  <cp:category>www.DidacticosMx.com</cp:category>
</cp:coreProperties>
</file>