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F3ECB6" w14:textId="3B1B4231" w:rsidR="00F06022" w:rsidRDefault="00F06022" w:rsidP="00F06022">
      <w:pPr>
        <w:jc w:val="center"/>
        <w:rPr>
          <w:rFonts w:ascii="Century Gothic" w:hAnsi="Century Gothic"/>
          <w:b/>
          <w:bCs/>
          <w:color w:val="0D0D0D" w:themeColor="text1" w:themeTint="F2"/>
          <w:sz w:val="44"/>
          <w:szCs w:val="44"/>
        </w:rPr>
      </w:pPr>
      <w:r>
        <w:rPr>
          <w:rFonts w:ascii="Century Gothic" w:hAnsi="Century Gothic"/>
          <w:b/>
          <w:bCs/>
          <w:color w:val="0D0D0D" w:themeColor="text1" w:themeTint="F2"/>
          <w:sz w:val="44"/>
          <w:szCs w:val="44"/>
        </w:rPr>
        <w:t xml:space="preserve">PROYECTOS DEL PERIODO </w:t>
      </w:r>
      <w:r>
        <w:rPr>
          <w:rFonts w:ascii="Century Gothic" w:hAnsi="Century Gothic"/>
          <w:b/>
          <w:bCs/>
          <w:color w:val="0D0D0D" w:themeColor="text1" w:themeTint="F2"/>
          <w:sz w:val="44"/>
          <w:szCs w:val="44"/>
        </w:rPr>
        <w:t>12</w:t>
      </w:r>
      <w:r>
        <w:rPr>
          <w:rFonts w:ascii="Century Gothic" w:hAnsi="Century Gothic"/>
          <w:b/>
          <w:bCs/>
          <w:color w:val="0D0D0D" w:themeColor="text1" w:themeTint="F2"/>
          <w:sz w:val="44"/>
          <w:szCs w:val="44"/>
        </w:rPr>
        <w:t>:</w:t>
      </w:r>
    </w:p>
    <w:p w14:paraId="58CCE6BF" w14:textId="4592F158" w:rsidR="00F06022" w:rsidRDefault="00F06022" w:rsidP="00F06022">
      <w:pPr>
        <w:jc w:val="both"/>
        <w:rPr>
          <w:rFonts w:ascii="Century Gothic" w:hAnsi="Century Gothic"/>
          <w:color w:val="0D0D0D" w:themeColor="text1" w:themeTint="F2"/>
          <w:sz w:val="36"/>
          <w:szCs w:val="36"/>
        </w:rPr>
      </w:pPr>
      <w:r>
        <w:rPr>
          <w:rFonts w:ascii="Century Gothic" w:hAnsi="Century Gothic"/>
          <w:color w:val="0D0D0D" w:themeColor="text1" w:themeTint="F2"/>
          <w:sz w:val="36"/>
          <w:szCs w:val="36"/>
        </w:rPr>
        <w:t xml:space="preserve">En este documento se encuentra la dosificación del Periodo de </w:t>
      </w:r>
      <w:r>
        <w:rPr>
          <w:rFonts w:ascii="Century Gothic" w:hAnsi="Century Gothic"/>
          <w:b/>
          <w:bCs/>
          <w:color w:val="0D0D0D" w:themeColor="text1" w:themeTint="F2"/>
          <w:sz w:val="36"/>
          <w:szCs w:val="36"/>
        </w:rPr>
        <w:t xml:space="preserve">PERIODO </w:t>
      </w:r>
      <w:r>
        <w:rPr>
          <w:rFonts w:ascii="Century Gothic" w:hAnsi="Century Gothic"/>
          <w:b/>
          <w:bCs/>
          <w:color w:val="0D0D0D" w:themeColor="text1" w:themeTint="F2"/>
          <w:sz w:val="36"/>
          <w:szCs w:val="36"/>
        </w:rPr>
        <w:t>12</w:t>
      </w:r>
      <w:r>
        <w:rPr>
          <w:rFonts w:ascii="Century Gothic" w:hAnsi="Century Gothic"/>
          <w:color w:val="0D0D0D" w:themeColor="text1" w:themeTint="F2"/>
          <w:sz w:val="36"/>
          <w:szCs w:val="36"/>
        </w:rPr>
        <w:t xml:space="preserve">. Aquí puede consultar los contenidos, campos y ejes de cada uno de los proyectos. Es muy importante que sepa que: </w:t>
      </w:r>
      <w:r>
        <w:rPr>
          <w:rFonts w:ascii="Century Gothic" w:hAnsi="Century Gothic"/>
          <w:color w:val="0D0D0D" w:themeColor="text1" w:themeTint="F2"/>
          <w:sz w:val="36"/>
          <w:szCs w:val="36"/>
          <w:u w:val="single"/>
        </w:rPr>
        <w:t>ESTOS PROYECTOS SE PUEDEN APLICAR EN CUALQUIER MOMENTO DEL AÑO</w:t>
      </w:r>
      <w:r>
        <w:rPr>
          <w:rFonts w:ascii="Century Gothic" w:hAnsi="Century Gothic"/>
          <w:color w:val="0D0D0D" w:themeColor="text1" w:themeTint="F2"/>
          <w:sz w:val="36"/>
          <w:szCs w:val="36"/>
        </w:rPr>
        <w:t>.</w:t>
      </w:r>
    </w:p>
    <w:p w14:paraId="47BD0521" w14:textId="77777777" w:rsidR="00F06022" w:rsidRDefault="00F06022" w:rsidP="00F06022">
      <w:pPr>
        <w:jc w:val="both"/>
        <w:rPr>
          <w:rFonts w:ascii="Century Gothic" w:hAnsi="Century Gothic"/>
          <w:color w:val="0D0D0D" w:themeColor="text1" w:themeTint="F2"/>
          <w:sz w:val="36"/>
          <w:szCs w:val="36"/>
        </w:rPr>
      </w:pPr>
      <w:r>
        <w:rPr>
          <w:rFonts w:ascii="Century Gothic" w:hAnsi="Century Gothic"/>
          <w:color w:val="0D0D0D" w:themeColor="text1" w:themeTint="F2"/>
          <w:sz w:val="36"/>
          <w:szCs w:val="36"/>
        </w:rPr>
        <w:t>Con esta información, comprenderás mejor los objetivos de cada proyecto y cómo se integran diferentes áreas del conocimiento.</w:t>
      </w:r>
    </w:p>
    <w:p w14:paraId="397A915D" w14:textId="77777777" w:rsidR="00F06022" w:rsidRDefault="00F06022" w:rsidP="00F06022">
      <w:pPr>
        <w:jc w:val="both"/>
        <w:rPr>
          <w:rFonts w:ascii="Century Gothic" w:hAnsi="Century Gothic"/>
          <w:color w:val="0D0D0D" w:themeColor="text1" w:themeTint="F2"/>
          <w:sz w:val="36"/>
          <w:szCs w:val="36"/>
        </w:rPr>
      </w:pPr>
      <w:r>
        <w:rPr>
          <w:rFonts w:ascii="Century Gothic" w:hAnsi="Century Gothic"/>
          <w:color w:val="0D0D0D" w:themeColor="text1" w:themeTint="F2"/>
          <w:sz w:val="36"/>
          <w:szCs w:val="36"/>
        </w:rPr>
        <w:t>Nuestros proyectos son únicos, ya que combinan contenidos y habilidades de dos o más campos de formación en una misma propuesta. De esta forma, la planeación se ajusta a los planes y programas de estudio de la Nueva Escuela Mexicana.</w:t>
      </w:r>
    </w:p>
    <w:p w14:paraId="2E27767A" w14:textId="4604D8BC" w:rsidR="00F06022" w:rsidRDefault="00F06022" w:rsidP="00F06022">
      <w:pPr>
        <w:jc w:val="both"/>
        <w:rPr>
          <w:rFonts w:ascii="Century Gothic" w:hAnsi="Century Gothic"/>
          <w:color w:val="0D0D0D" w:themeColor="text1" w:themeTint="F2"/>
          <w:sz w:val="36"/>
          <w:szCs w:val="36"/>
        </w:rPr>
      </w:pPr>
      <w:r>
        <w:rPr>
          <w:rFonts w:ascii="Century Gothic" w:hAnsi="Century Gothic"/>
          <w:color w:val="0D0D0D" w:themeColor="text1" w:themeTint="F2"/>
          <w:sz w:val="36"/>
          <w:szCs w:val="36"/>
        </w:rPr>
        <w:t xml:space="preserve">El paquete del </w:t>
      </w:r>
      <w:r>
        <w:rPr>
          <w:rFonts w:ascii="Century Gothic" w:hAnsi="Century Gothic"/>
          <w:b/>
          <w:bCs/>
          <w:color w:val="0D0D0D" w:themeColor="text1" w:themeTint="F2"/>
          <w:sz w:val="36"/>
          <w:szCs w:val="36"/>
        </w:rPr>
        <w:t xml:space="preserve">PERIODO </w:t>
      </w:r>
      <w:r>
        <w:rPr>
          <w:rFonts w:ascii="Century Gothic" w:hAnsi="Century Gothic"/>
          <w:b/>
          <w:bCs/>
          <w:color w:val="0D0D0D" w:themeColor="text1" w:themeTint="F2"/>
          <w:sz w:val="36"/>
          <w:szCs w:val="36"/>
        </w:rPr>
        <w:t>12</w:t>
      </w:r>
      <w:r>
        <w:rPr>
          <w:rFonts w:ascii="Century Gothic" w:hAnsi="Century Gothic"/>
          <w:color w:val="0D0D0D" w:themeColor="text1" w:themeTint="F2"/>
          <w:sz w:val="36"/>
          <w:szCs w:val="36"/>
        </w:rPr>
        <w:t xml:space="preserve"> incluye 3 proyectos didácticos.</w:t>
      </w:r>
    </w:p>
    <w:p w14:paraId="59610766" w14:textId="77777777" w:rsidR="00F06022" w:rsidRDefault="00F06022">
      <w:pPr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br w:type="page"/>
      </w:r>
    </w:p>
    <w:p w14:paraId="19ADF972" w14:textId="23F71804" w:rsidR="00AD1658" w:rsidRPr="00085631" w:rsidRDefault="00C825A1" w:rsidP="00C825A1">
      <w:pPr>
        <w:spacing w:after="0"/>
        <w:jc w:val="center"/>
        <w:rPr>
          <w:rFonts w:ascii="Century Gothic" w:hAnsi="Century Gothic"/>
          <w:b/>
          <w:bCs/>
          <w:sz w:val="32"/>
          <w:szCs w:val="32"/>
        </w:rPr>
      </w:pPr>
      <w:r w:rsidRPr="00085631">
        <w:rPr>
          <w:rFonts w:ascii="Century Gothic" w:hAnsi="Century Gothic"/>
          <w:b/>
          <w:bCs/>
          <w:sz w:val="32"/>
          <w:szCs w:val="32"/>
        </w:rPr>
        <w:lastRenderedPageBreak/>
        <w:t>6to Grado</w:t>
      </w:r>
    </w:p>
    <w:p w14:paraId="77989C0C" w14:textId="1D2CB95C" w:rsidR="002E23F0" w:rsidRPr="00085631" w:rsidRDefault="002E23F0" w:rsidP="00C825A1">
      <w:pPr>
        <w:spacing w:after="0"/>
        <w:jc w:val="center"/>
        <w:rPr>
          <w:rFonts w:ascii="Century Gothic" w:hAnsi="Century Gothic"/>
          <w:b/>
          <w:bCs/>
          <w:sz w:val="32"/>
          <w:szCs w:val="32"/>
        </w:rPr>
      </w:pPr>
      <w:r w:rsidRPr="00085631">
        <w:rPr>
          <w:rFonts w:ascii="Century Gothic" w:hAnsi="Century Gothic"/>
          <w:b/>
          <w:bCs/>
          <w:sz w:val="32"/>
          <w:szCs w:val="32"/>
        </w:rPr>
        <w:t>FECHA</w:t>
      </w:r>
    </w:p>
    <w:tbl>
      <w:tblPr>
        <w:tblStyle w:val="Tablaconcuadrcula"/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3039"/>
        <w:gridCol w:w="3000"/>
        <w:gridCol w:w="1723"/>
        <w:gridCol w:w="2875"/>
        <w:gridCol w:w="3753"/>
      </w:tblGrid>
      <w:tr w:rsidR="00AD1658" w:rsidRPr="00085631" w14:paraId="51312299" w14:textId="77777777" w:rsidTr="00C65812">
        <w:tc>
          <w:tcPr>
            <w:tcW w:w="14390" w:type="dxa"/>
            <w:gridSpan w:val="5"/>
            <w:shd w:val="clear" w:color="auto" w:fill="FF8F8F"/>
            <w:vAlign w:val="center"/>
          </w:tcPr>
          <w:p w14:paraId="7345A0A7" w14:textId="59359916" w:rsidR="00AD1658" w:rsidRPr="00085631" w:rsidRDefault="002E23F0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085631">
              <w:rPr>
                <w:rFonts w:ascii="Century Gothic" w:hAnsi="Century Gothic"/>
                <w:b/>
                <w:bCs/>
                <w:sz w:val="26"/>
                <w:szCs w:val="26"/>
              </w:rPr>
              <w:t>DOSIFICACIÓN</w:t>
            </w:r>
          </w:p>
        </w:tc>
      </w:tr>
      <w:tr w:rsidR="00AD1658" w:rsidRPr="00085631" w14:paraId="0ED89697" w14:textId="77777777" w:rsidTr="00085631">
        <w:tc>
          <w:tcPr>
            <w:tcW w:w="3082" w:type="dxa"/>
            <w:shd w:val="clear" w:color="auto" w:fill="FFD1D1"/>
            <w:vAlign w:val="center"/>
          </w:tcPr>
          <w:p w14:paraId="2010CF81" w14:textId="0E05CB10" w:rsidR="00AD1658" w:rsidRPr="00085631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085631">
              <w:rPr>
                <w:rFonts w:ascii="Century Gothic" w:hAnsi="Century Gothic"/>
                <w:b/>
                <w:bCs/>
                <w:sz w:val="26"/>
                <w:szCs w:val="26"/>
              </w:rPr>
              <w:t>Campo Formativo</w:t>
            </w:r>
          </w:p>
        </w:tc>
        <w:tc>
          <w:tcPr>
            <w:tcW w:w="3028" w:type="dxa"/>
            <w:shd w:val="clear" w:color="auto" w:fill="FFD1D1"/>
            <w:vAlign w:val="center"/>
          </w:tcPr>
          <w:p w14:paraId="3FF55929" w14:textId="2775533F" w:rsidR="00AD1658" w:rsidRPr="00085631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085631">
              <w:rPr>
                <w:rFonts w:ascii="Century Gothic" w:hAnsi="Century Gothic"/>
                <w:b/>
                <w:bCs/>
                <w:sz w:val="26"/>
                <w:szCs w:val="26"/>
              </w:rPr>
              <w:t>Ejes articuladores</w:t>
            </w:r>
          </w:p>
        </w:tc>
        <w:tc>
          <w:tcPr>
            <w:tcW w:w="1566" w:type="dxa"/>
            <w:shd w:val="clear" w:color="auto" w:fill="FFD1D1"/>
            <w:vAlign w:val="center"/>
          </w:tcPr>
          <w:p w14:paraId="426A56CE" w14:textId="6F50816E" w:rsidR="00AD1658" w:rsidRPr="00085631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085631">
              <w:rPr>
                <w:rFonts w:ascii="Century Gothic" w:hAnsi="Century Gothic"/>
                <w:b/>
                <w:bCs/>
                <w:sz w:val="26"/>
                <w:szCs w:val="26"/>
              </w:rPr>
              <w:t>Escenario</w:t>
            </w:r>
          </w:p>
        </w:tc>
        <w:tc>
          <w:tcPr>
            <w:tcW w:w="2910" w:type="dxa"/>
            <w:shd w:val="clear" w:color="auto" w:fill="FFD1D1"/>
            <w:vAlign w:val="center"/>
          </w:tcPr>
          <w:p w14:paraId="0490FFAC" w14:textId="4AF7C1E6" w:rsidR="00AD1658" w:rsidRPr="00085631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085631">
              <w:rPr>
                <w:rFonts w:ascii="Century Gothic" w:hAnsi="Century Gothic"/>
                <w:b/>
                <w:bCs/>
                <w:sz w:val="26"/>
                <w:szCs w:val="26"/>
              </w:rPr>
              <w:t>Nombre del proyecto</w:t>
            </w:r>
          </w:p>
        </w:tc>
        <w:tc>
          <w:tcPr>
            <w:tcW w:w="3804" w:type="dxa"/>
            <w:shd w:val="clear" w:color="auto" w:fill="FFD1D1"/>
            <w:vAlign w:val="center"/>
          </w:tcPr>
          <w:p w14:paraId="49AD0D00" w14:textId="0DD44579" w:rsidR="00AD1658" w:rsidRPr="00085631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085631">
              <w:rPr>
                <w:rFonts w:ascii="Century Gothic" w:hAnsi="Century Gothic"/>
                <w:b/>
                <w:bCs/>
                <w:sz w:val="26"/>
                <w:szCs w:val="26"/>
              </w:rPr>
              <w:t>Propósito</w:t>
            </w:r>
          </w:p>
        </w:tc>
      </w:tr>
      <w:tr w:rsidR="00085631" w:rsidRPr="00085631" w14:paraId="3E0896F7" w14:textId="77777777" w:rsidTr="00085631">
        <w:tc>
          <w:tcPr>
            <w:tcW w:w="3082" w:type="dxa"/>
            <w:vAlign w:val="center"/>
          </w:tcPr>
          <w:p w14:paraId="2615CD50" w14:textId="0DA74591" w:rsidR="00085631" w:rsidRPr="00085631" w:rsidRDefault="00085631" w:rsidP="00085631">
            <w:pPr>
              <w:rPr>
                <w:rFonts w:ascii="Century Gothic" w:hAnsi="Century Gothic"/>
              </w:rPr>
            </w:pPr>
            <w:r w:rsidRPr="00085631">
              <w:rPr>
                <w:rFonts w:ascii="Century Gothic" w:hAnsi="Century Gothic"/>
                <w:kern w:val="0"/>
                <w14:ligatures w14:val="none"/>
              </w:rPr>
              <w:t>Ética, naturaleza y sociedades</w:t>
            </w:r>
          </w:p>
        </w:tc>
        <w:tc>
          <w:tcPr>
            <w:tcW w:w="3028" w:type="dxa"/>
            <w:vAlign w:val="center"/>
          </w:tcPr>
          <w:p w14:paraId="1F4EA31E" w14:textId="77777777" w:rsidR="00085631" w:rsidRPr="00085631" w:rsidRDefault="00085631" w:rsidP="00085631">
            <w:pPr>
              <w:rPr>
                <w:rFonts w:ascii="Century Gothic" w:hAnsi="Century Gothic"/>
              </w:rPr>
            </w:pPr>
            <w:r w:rsidRPr="00085631">
              <w:rPr>
                <w:rFonts w:ascii="Century Gothic" w:hAnsi="Century Gothic"/>
              </w:rPr>
              <w:t>Inclusión</w:t>
            </w:r>
          </w:p>
          <w:p w14:paraId="26D46EFF" w14:textId="77777777" w:rsidR="00085631" w:rsidRPr="00085631" w:rsidRDefault="00085631" w:rsidP="00085631">
            <w:pPr>
              <w:rPr>
                <w:rFonts w:ascii="Century Gothic" w:hAnsi="Century Gothic"/>
              </w:rPr>
            </w:pPr>
            <w:r w:rsidRPr="00085631">
              <w:rPr>
                <w:rFonts w:ascii="Century Gothic" w:hAnsi="Century Gothic"/>
              </w:rPr>
              <w:t>Pensamiento crítico</w:t>
            </w:r>
          </w:p>
          <w:p w14:paraId="2D724138" w14:textId="3EB2EFD9" w:rsidR="00085631" w:rsidRPr="00085631" w:rsidRDefault="00085631" w:rsidP="00085631">
            <w:pPr>
              <w:rPr>
                <w:rFonts w:ascii="Century Gothic" w:hAnsi="Century Gothic"/>
              </w:rPr>
            </w:pPr>
            <w:r w:rsidRPr="00085631">
              <w:rPr>
                <w:rFonts w:ascii="Century Gothic" w:hAnsi="Century Gothic"/>
              </w:rPr>
              <w:t>Igualdad de género</w:t>
            </w:r>
          </w:p>
        </w:tc>
        <w:tc>
          <w:tcPr>
            <w:tcW w:w="1566" w:type="dxa"/>
            <w:vAlign w:val="center"/>
          </w:tcPr>
          <w:p w14:paraId="5A3B8FEE" w14:textId="77777777" w:rsidR="00085631" w:rsidRPr="00085631" w:rsidRDefault="00085631" w:rsidP="00085631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 w:rsidRPr="00085631">
              <w:rPr>
                <w:rFonts w:ascii="Century Gothic" w:hAnsi="Century Gothic" w:cs="Tahoma"/>
                <w:sz w:val="24"/>
                <w:szCs w:val="24"/>
              </w:rPr>
              <w:t>Escolar.</w:t>
            </w:r>
          </w:p>
          <w:p w14:paraId="133CBBF1" w14:textId="3A0D79C6" w:rsidR="00085631" w:rsidRPr="00085631" w:rsidRDefault="00085631" w:rsidP="00085631">
            <w:pPr>
              <w:rPr>
                <w:rFonts w:ascii="Century Gothic" w:hAnsi="Century Gothic"/>
              </w:rPr>
            </w:pPr>
            <w:r w:rsidRPr="00085631">
              <w:rPr>
                <w:rFonts w:ascii="Century Gothic" w:hAnsi="Century Gothic" w:cs="Tahoma"/>
                <w:sz w:val="24"/>
                <w:szCs w:val="24"/>
              </w:rPr>
              <w:t>Páginas de la 210 a la 227.</w:t>
            </w:r>
          </w:p>
        </w:tc>
        <w:tc>
          <w:tcPr>
            <w:tcW w:w="2910" w:type="dxa"/>
            <w:vAlign w:val="center"/>
          </w:tcPr>
          <w:p w14:paraId="1C02C1AD" w14:textId="6A569306" w:rsidR="00085631" w:rsidRPr="00085631" w:rsidRDefault="00085631" w:rsidP="00085631">
            <w:pPr>
              <w:rPr>
                <w:rFonts w:ascii="Century Gothic" w:hAnsi="Century Gothic"/>
              </w:rPr>
            </w:pPr>
            <w:r w:rsidRPr="00085631">
              <w:rPr>
                <w:rFonts w:ascii="Century Gothic" w:hAnsi="Century Gothic" w:cs="Tahoma"/>
                <w:kern w:val="0"/>
                <w:sz w:val="24"/>
                <w:szCs w:val="24"/>
              </w:rPr>
              <w:t>Los prejuicios que determinan historias y limitan derechos.</w:t>
            </w:r>
          </w:p>
        </w:tc>
        <w:tc>
          <w:tcPr>
            <w:tcW w:w="3804" w:type="dxa"/>
            <w:vAlign w:val="center"/>
          </w:tcPr>
          <w:p w14:paraId="30CCDB5F" w14:textId="1601B7BA" w:rsidR="00085631" w:rsidRPr="00085631" w:rsidRDefault="00085631" w:rsidP="00085631">
            <w:pPr>
              <w:rPr>
                <w:rFonts w:ascii="Century Gothic" w:hAnsi="Century Gothic"/>
              </w:rPr>
            </w:pPr>
            <w:r w:rsidRPr="00085631">
              <w:rPr>
                <w:rFonts w:ascii="Century Gothic" w:hAnsi="Century Gothic" w:cs="Tahoma"/>
                <w:kern w:val="0"/>
                <w:sz w:val="24"/>
                <w:szCs w:val="24"/>
              </w:rPr>
              <w:t>Identificar que los prejuicios pueden ser dañinos para la convivencia, por lo cual es necesario reconocerlos y evitarlos.</w:t>
            </w:r>
          </w:p>
        </w:tc>
      </w:tr>
      <w:tr w:rsidR="00085631" w:rsidRPr="00085631" w14:paraId="11363062" w14:textId="77777777" w:rsidTr="00085631">
        <w:tc>
          <w:tcPr>
            <w:tcW w:w="3082" w:type="dxa"/>
            <w:vAlign w:val="center"/>
          </w:tcPr>
          <w:p w14:paraId="6A945832" w14:textId="59E34658" w:rsidR="00085631" w:rsidRPr="00085631" w:rsidRDefault="00085631" w:rsidP="00085631">
            <w:pPr>
              <w:rPr>
                <w:rFonts w:ascii="Century Gothic" w:hAnsi="Century Gothic"/>
              </w:rPr>
            </w:pPr>
            <w:r w:rsidRPr="00085631">
              <w:rPr>
                <w:rFonts w:ascii="Century Gothic" w:hAnsi="Century Gothic"/>
                <w:kern w:val="0"/>
                <w14:ligatures w14:val="none"/>
              </w:rPr>
              <w:t>Ética, naturaleza y sociedades</w:t>
            </w:r>
          </w:p>
        </w:tc>
        <w:tc>
          <w:tcPr>
            <w:tcW w:w="3028" w:type="dxa"/>
            <w:vAlign w:val="center"/>
          </w:tcPr>
          <w:p w14:paraId="6E1C6DEC" w14:textId="77777777" w:rsidR="00085631" w:rsidRPr="00085631" w:rsidRDefault="00085631" w:rsidP="00085631">
            <w:pPr>
              <w:rPr>
                <w:rFonts w:ascii="Century Gothic" w:hAnsi="Century Gothic"/>
              </w:rPr>
            </w:pPr>
            <w:r w:rsidRPr="00085631">
              <w:rPr>
                <w:rFonts w:ascii="Century Gothic" w:hAnsi="Century Gothic"/>
              </w:rPr>
              <w:t>Inclusión</w:t>
            </w:r>
          </w:p>
          <w:p w14:paraId="53B1E45B" w14:textId="77777777" w:rsidR="00085631" w:rsidRPr="00085631" w:rsidRDefault="00085631" w:rsidP="00085631">
            <w:pPr>
              <w:rPr>
                <w:rFonts w:ascii="Century Gothic" w:hAnsi="Century Gothic"/>
              </w:rPr>
            </w:pPr>
            <w:r w:rsidRPr="00085631">
              <w:rPr>
                <w:rFonts w:ascii="Century Gothic" w:hAnsi="Century Gothic"/>
              </w:rPr>
              <w:t xml:space="preserve">Interculturalidad critica </w:t>
            </w:r>
          </w:p>
          <w:p w14:paraId="58086788" w14:textId="6A924701" w:rsidR="00085631" w:rsidRPr="00085631" w:rsidRDefault="00085631" w:rsidP="00085631">
            <w:pPr>
              <w:rPr>
                <w:rFonts w:ascii="Century Gothic" w:hAnsi="Century Gothic"/>
              </w:rPr>
            </w:pPr>
            <w:r w:rsidRPr="00085631">
              <w:rPr>
                <w:rFonts w:ascii="Century Gothic" w:hAnsi="Century Gothic"/>
              </w:rPr>
              <w:t>Igualdad de género</w:t>
            </w:r>
          </w:p>
        </w:tc>
        <w:tc>
          <w:tcPr>
            <w:tcW w:w="1566" w:type="dxa"/>
            <w:vAlign w:val="center"/>
          </w:tcPr>
          <w:p w14:paraId="5AF20ECB" w14:textId="77777777" w:rsidR="00085631" w:rsidRPr="00085631" w:rsidRDefault="00085631" w:rsidP="00085631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 w:rsidRPr="00085631">
              <w:rPr>
                <w:rFonts w:ascii="Century Gothic" w:hAnsi="Century Gothic" w:cs="Tahoma"/>
                <w:sz w:val="24"/>
                <w:szCs w:val="24"/>
              </w:rPr>
              <w:t>Comunitario.</w:t>
            </w:r>
          </w:p>
          <w:p w14:paraId="55789F6D" w14:textId="132E72BE" w:rsidR="00085631" w:rsidRPr="00085631" w:rsidRDefault="00085631" w:rsidP="00085631">
            <w:pPr>
              <w:rPr>
                <w:rFonts w:ascii="Century Gothic" w:hAnsi="Century Gothic"/>
              </w:rPr>
            </w:pPr>
            <w:r w:rsidRPr="00085631">
              <w:rPr>
                <w:rFonts w:ascii="Century Gothic" w:hAnsi="Century Gothic" w:cs="Tahoma"/>
                <w:sz w:val="24"/>
                <w:szCs w:val="24"/>
              </w:rPr>
              <w:t>Páginas de la 242 a la 259.</w:t>
            </w:r>
          </w:p>
        </w:tc>
        <w:tc>
          <w:tcPr>
            <w:tcW w:w="2910" w:type="dxa"/>
            <w:vAlign w:val="center"/>
          </w:tcPr>
          <w:p w14:paraId="0F88FC55" w14:textId="179DFDE7" w:rsidR="00085631" w:rsidRPr="00085631" w:rsidRDefault="00085631" w:rsidP="00085631">
            <w:pPr>
              <w:rPr>
                <w:rFonts w:ascii="Century Gothic" w:hAnsi="Century Gothic"/>
              </w:rPr>
            </w:pPr>
            <w:r w:rsidRPr="00085631">
              <w:rPr>
                <w:rFonts w:ascii="Century Gothic" w:hAnsi="Century Gothic" w:cs="Tahoma"/>
                <w:kern w:val="0"/>
                <w:sz w:val="24"/>
                <w:szCs w:val="24"/>
              </w:rPr>
              <w:t>Un encuentro a favor de la diversidad.</w:t>
            </w:r>
          </w:p>
        </w:tc>
        <w:tc>
          <w:tcPr>
            <w:tcW w:w="3804" w:type="dxa"/>
            <w:vAlign w:val="center"/>
          </w:tcPr>
          <w:p w14:paraId="1544F34B" w14:textId="7CC003DC" w:rsidR="00085631" w:rsidRPr="00085631" w:rsidRDefault="00085631" w:rsidP="00085631">
            <w:pPr>
              <w:rPr>
                <w:rFonts w:ascii="Century Gothic" w:hAnsi="Century Gothic"/>
              </w:rPr>
            </w:pPr>
            <w:r w:rsidRPr="00085631">
              <w:rPr>
                <w:rFonts w:ascii="Century Gothic" w:hAnsi="Century Gothic" w:cs="Tahoma"/>
                <w:kern w:val="0"/>
                <w:sz w:val="24"/>
                <w:szCs w:val="24"/>
              </w:rPr>
              <w:t>Comprender que la discriminación y la violencia atentan contra los derechos humanos. También participar en un encuentro por la diversidad para promover acciones que contribuyan a disminuir la discriminación en su comunidad.</w:t>
            </w:r>
          </w:p>
        </w:tc>
      </w:tr>
      <w:tr w:rsidR="00085631" w:rsidRPr="00085631" w14:paraId="28903A2D" w14:textId="77777777" w:rsidTr="00085631">
        <w:tc>
          <w:tcPr>
            <w:tcW w:w="3082" w:type="dxa"/>
            <w:vAlign w:val="center"/>
          </w:tcPr>
          <w:p w14:paraId="66EAD28D" w14:textId="5654F0F0" w:rsidR="00085631" w:rsidRPr="00085631" w:rsidRDefault="00085631" w:rsidP="00085631">
            <w:pPr>
              <w:rPr>
                <w:rFonts w:ascii="Century Gothic" w:hAnsi="Century Gothic"/>
              </w:rPr>
            </w:pPr>
            <w:r w:rsidRPr="00085631">
              <w:rPr>
                <w:rFonts w:ascii="Century Gothic" w:hAnsi="Century Gothic"/>
                <w:kern w:val="0"/>
                <w14:ligatures w14:val="none"/>
              </w:rPr>
              <w:t>Ética, naturaleza y sociedades</w:t>
            </w:r>
          </w:p>
        </w:tc>
        <w:tc>
          <w:tcPr>
            <w:tcW w:w="3028" w:type="dxa"/>
            <w:vAlign w:val="center"/>
          </w:tcPr>
          <w:p w14:paraId="599C58D7" w14:textId="79ED2944" w:rsidR="00085631" w:rsidRPr="00085631" w:rsidRDefault="00085631" w:rsidP="00085631">
            <w:pPr>
              <w:rPr>
                <w:rFonts w:ascii="Century Gothic" w:hAnsi="Century Gothic"/>
              </w:rPr>
            </w:pPr>
            <w:r w:rsidRPr="00085631">
              <w:rPr>
                <w:rFonts w:ascii="Century Gothic" w:hAnsi="Century Gothic"/>
              </w:rPr>
              <w:t>Pensamiento crítico</w:t>
            </w:r>
          </w:p>
        </w:tc>
        <w:tc>
          <w:tcPr>
            <w:tcW w:w="1566" w:type="dxa"/>
            <w:vAlign w:val="center"/>
          </w:tcPr>
          <w:p w14:paraId="6D610455" w14:textId="77777777" w:rsidR="00085631" w:rsidRPr="00085631" w:rsidRDefault="00085631" w:rsidP="00085631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 w:rsidRPr="00085631">
              <w:rPr>
                <w:rFonts w:ascii="Century Gothic" w:hAnsi="Century Gothic" w:cs="Tahoma"/>
                <w:sz w:val="24"/>
                <w:szCs w:val="24"/>
              </w:rPr>
              <w:t>Aula.</w:t>
            </w:r>
          </w:p>
          <w:p w14:paraId="5E092657" w14:textId="3DF022FF" w:rsidR="00085631" w:rsidRPr="00085631" w:rsidRDefault="00085631" w:rsidP="00085631">
            <w:pPr>
              <w:rPr>
                <w:rFonts w:ascii="Century Gothic" w:hAnsi="Century Gothic"/>
              </w:rPr>
            </w:pPr>
            <w:r w:rsidRPr="00085631">
              <w:rPr>
                <w:rFonts w:ascii="Century Gothic" w:hAnsi="Century Gothic" w:cs="Tahoma"/>
                <w:sz w:val="24"/>
                <w:szCs w:val="24"/>
              </w:rPr>
              <w:t>Páginas de la 200 a la 215.</w:t>
            </w:r>
          </w:p>
        </w:tc>
        <w:tc>
          <w:tcPr>
            <w:tcW w:w="2910" w:type="dxa"/>
            <w:vAlign w:val="center"/>
          </w:tcPr>
          <w:p w14:paraId="2010C993" w14:textId="3DF9BE51" w:rsidR="00085631" w:rsidRPr="00085631" w:rsidRDefault="00085631" w:rsidP="00085631">
            <w:pPr>
              <w:rPr>
                <w:rFonts w:ascii="Century Gothic" w:hAnsi="Century Gothic"/>
              </w:rPr>
            </w:pPr>
            <w:r w:rsidRPr="00085631">
              <w:rPr>
                <w:rFonts w:ascii="Century Gothic" w:hAnsi="Century Gothic" w:cs="Tahoma"/>
                <w:kern w:val="0"/>
                <w:sz w:val="24"/>
                <w:szCs w:val="24"/>
              </w:rPr>
              <w:t>Aplicación de la ley en el derecho de autor.</w:t>
            </w:r>
          </w:p>
        </w:tc>
        <w:tc>
          <w:tcPr>
            <w:tcW w:w="3804" w:type="dxa"/>
            <w:vAlign w:val="center"/>
          </w:tcPr>
          <w:p w14:paraId="3F11CA71" w14:textId="579FB3C9" w:rsidR="00085631" w:rsidRPr="00085631" w:rsidRDefault="00085631" w:rsidP="00085631">
            <w:pPr>
              <w:rPr>
                <w:rFonts w:ascii="Century Gothic" w:hAnsi="Century Gothic"/>
              </w:rPr>
            </w:pPr>
            <w:r w:rsidRPr="00085631">
              <w:rPr>
                <w:rFonts w:ascii="Century Gothic" w:hAnsi="Century Gothic" w:cs="Tahoma"/>
                <w:kern w:val="0"/>
                <w:sz w:val="24"/>
                <w:szCs w:val="24"/>
              </w:rPr>
              <w:t>Reconocer cómo puede aplicarse la ley de manera justa en casos relacionados con los derechos de autor, en lo que se refiere a obras literarias y artísticas.</w:t>
            </w:r>
          </w:p>
        </w:tc>
      </w:tr>
    </w:tbl>
    <w:p w14:paraId="099E919D" w14:textId="77777777" w:rsidR="002F59BC" w:rsidRPr="00085631" w:rsidRDefault="002F59BC">
      <w:pPr>
        <w:rPr>
          <w:rFonts w:ascii="Century Gothic" w:hAnsi="Century Gothic"/>
        </w:rPr>
      </w:pPr>
    </w:p>
    <w:sectPr w:rsidR="002F59BC" w:rsidRPr="00085631" w:rsidSect="00F47D0B">
      <w:headerReference w:type="default" r:id="rId7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D48A08" w14:textId="77777777" w:rsidR="00F47D0B" w:rsidRDefault="00F47D0B" w:rsidP="00C825A1">
      <w:pPr>
        <w:spacing w:after="0" w:line="240" w:lineRule="auto"/>
      </w:pPr>
      <w:r>
        <w:separator/>
      </w:r>
    </w:p>
  </w:endnote>
  <w:endnote w:type="continuationSeparator" w:id="0">
    <w:p w14:paraId="39F407E8" w14:textId="77777777" w:rsidR="00F47D0B" w:rsidRDefault="00F47D0B" w:rsidP="00C825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1FCF6E" w14:textId="77777777" w:rsidR="00F47D0B" w:rsidRDefault="00F47D0B" w:rsidP="00C825A1">
      <w:pPr>
        <w:spacing w:after="0" w:line="240" w:lineRule="auto"/>
      </w:pPr>
      <w:r>
        <w:separator/>
      </w:r>
    </w:p>
  </w:footnote>
  <w:footnote w:type="continuationSeparator" w:id="0">
    <w:p w14:paraId="10EFD32F" w14:textId="77777777" w:rsidR="00F47D0B" w:rsidRDefault="00F47D0B" w:rsidP="00C825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15B861" w14:textId="0DA4F84B" w:rsidR="00C825A1" w:rsidRPr="00C825A1" w:rsidRDefault="00C825A1" w:rsidP="00C825A1">
    <w:pPr>
      <w:pStyle w:val="Encabezado"/>
      <w:jc w:val="right"/>
      <w:rPr>
        <w:rFonts w:ascii="Century Gothic" w:hAnsi="Century Gothic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97586E9" wp14:editId="202070DE">
          <wp:simplePos x="0" y="0"/>
          <wp:positionH relativeFrom="margin">
            <wp:posOffset>28575</wp:posOffset>
          </wp:positionH>
          <wp:positionV relativeFrom="paragraph">
            <wp:posOffset>-163830</wp:posOffset>
          </wp:positionV>
          <wp:extent cx="6090285" cy="408305"/>
          <wp:effectExtent l="0" t="0" r="5715" b="0"/>
          <wp:wrapTight wrapText="bothSides">
            <wp:wrapPolygon edited="0">
              <wp:start x="0" y="0"/>
              <wp:lineTo x="0" y="20156"/>
              <wp:lineTo x="21553" y="20156"/>
              <wp:lineTo x="21553" y="0"/>
              <wp:lineTo x="0" y="0"/>
            </wp:wrapPolygon>
          </wp:wrapTight>
          <wp:docPr id="212290322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0285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sz w:val="28"/>
        <w:szCs w:val="28"/>
      </w:rPr>
      <w:t>https://DidacticosMx.com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E4C"/>
    <w:rsid w:val="00085631"/>
    <w:rsid w:val="00113749"/>
    <w:rsid w:val="002E23F0"/>
    <w:rsid w:val="002F59BC"/>
    <w:rsid w:val="004104AA"/>
    <w:rsid w:val="0072004E"/>
    <w:rsid w:val="009A5BC5"/>
    <w:rsid w:val="00AD1658"/>
    <w:rsid w:val="00B474F4"/>
    <w:rsid w:val="00B51E4C"/>
    <w:rsid w:val="00C65812"/>
    <w:rsid w:val="00C825A1"/>
    <w:rsid w:val="00C82D7E"/>
    <w:rsid w:val="00F06022"/>
    <w:rsid w:val="00F47D0B"/>
    <w:rsid w:val="00FD6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51243E"/>
  <w15:chartTrackingRefBased/>
  <w15:docId w15:val="{9786A685-4F40-4154-B0E4-23DFDB575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51E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825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825A1"/>
  </w:style>
  <w:style w:type="paragraph" w:styleId="Piedepgina">
    <w:name w:val="footer"/>
    <w:basedOn w:val="Normal"/>
    <w:link w:val="PiedepginaCar"/>
    <w:uiPriority w:val="99"/>
    <w:unhideWhenUsed/>
    <w:rsid w:val="00C825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25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02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7D1FC-7F57-447F-A67E-41DBD280E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274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>www.DidacticosMx.com</Manager>
  <Company>www.DidacticosMx.com</Company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www.DidacticosMx.com</dc:title>
  <dc:subject>www.DidacticosMx.com</dc:subject>
  <dc:creator>www.DidacticosMx.com</dc:creator>
  <cp:keywords>www.DidacticosMx.com</cp:keywords>
  <dc:description>www.DidacticosMx.com</dc:description>
  <cp:lastModifiedBy>G3317</cp:lastModifiedBy>
  <cp:revision>3</cp:revision>
  <dcterms:created xsi:type="dcterms:W3CDTF">2023-08-21T19:57:00Z</dcterms:created>
  <dcterms:modified xsi:type="dcterms:W3CDTF">2024-04-07T02:45:00Z</dcterms:modified>
  <cp:category>www.DidacticosMx.com</cp:category>
</cp:coreProperties>
</file>