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1B47" w14:textId="650EF60C" w:rsidR="003010FA" w:rsidRDefault="003010FA" w:rsidP="003010F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B7665BD" w14:textId="4778830A" w:rsidR="003010FA" w:rsidRDefault="003010FA" w:rsidP="003010F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829A933" w14:textId="77777777" w:rsidR="003010FA" w:rsidRDefault="003010FA" w:rsidP="003010F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14CE371" w14:textId="77777777" w:rsidR="003010FA" w:rsidRDefault="003010FA" w:rsidP="003010F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DBE3EB2" w14:textId="48CDBDEF" w:rsidR="003010FA" w:rsidRDefault="003010FA" w:rsidP="003010F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2D1FA391" w14:textId="77777777" w:rsidR="003010FA" w:rsidRDefault="003010F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4A9B207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414E1A95" w:rsidR="002E23F0" w:rsidRPr="00C825A1" w:rsidRDefault="006620EC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11. 5 AL 16 FEBRERO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5"/>
        <w:gridCol w:w="3256"/>
        <w:gridCol w:w="1723"/>
        <w:gridCol w:w="2252"/>
        <w:gridCol w:w="5464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620EC">
        <w:tc>
          <w:tcPr>
            <w:tcW w:w="1695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256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252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464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620EC" w:rsidRPr="00AD1658" w14:paraId="3E0896F7" w14:textId="77777777" w:rsidTr="006620EC">
        <w:tc>
          <w:tcPr>
            <w:tcW w:w="1695" w:type="dxa"/>
            <w:vAlign w:val="center"/>
          </w:tcPr>
          <w:p w14:paraId="2615CD50" w14:textId="784C6117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Lenguajes</w:t>
            </w:r>
          </w:p>
        </w:tc>
        <w:tc>
          <w:tcPr>
            <w:tcW w:w="3256" w:type="dxa"/>
            <w:vAlign w:val="center"/>
          </w:tcPr>
          <w:p w14:paraId="2D724138" w14:textId="63D41B7B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620EC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6620E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6620E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20D6E3A5" w14:textId="77777777" w:rsidR="006620EC" w:rsidRPr="003B625A" w:rsidRDefault="006620EC" w:rsidP="006620E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EE7E756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Páginas de la 50 a la 59.</w:t>
            </w:r>
          </w:p>
        </w:tc>
        <w:tc>
          <w:tcPr>
            <w:tcW w:w="2252" w:type="dxa"/>
            <w:vAlign w:val="center"/>
          </w:tcPr>
          <w:p w14:paraId="1C02C1AD" w14:textId="771194AD" w:rsidR="006620EC" w:rsidRPr="006620EC" w:rsidRDefault="006620EC" w:rsidP="006620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620E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¡Qué lenguaje tan diverso!</w:t>
            </w:r>
          </w:p>
        </w:tc>
        <w:tc>
          <w:tcPr>
            <w:tcW w:w="5464" w:type="dxa"/>
            <w:vAlign w:val="center"/>
          </w:tcPr>
          <w:p w14:paraId="30CCDB5F" w14:textId="6D1905B2" w:rsidR="006620EC" w:rsidRPr="00AD1658" w:rsidRDefault="006620EC" w:rsidP="006620EC">
            <w:pPr>
              <w:jc w:val="both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kern w:val="0"/>
                <w:sz w:val="24"/>
                <w:szCs w:val="24"/>
              </w:rPr>
              <w:t>Organizar, visualizar y compartir caligramas. Identificar la diversidad lingüística y los elementos que la acompañan: la oralidad y la escritura, con la intención de fortalecer las expresiones culturales que se vinculan con la lengua.</w:t>
            </w:r>
          </w:p>
        </w:tc>
      </w:tr>
      <w:tr w:rsidR="006620EC" w:rsidRPr="00AD1658" w14:paraId="11363062" w14:textId="77777777" w:rsidTr="006620EC">
        <w:tc>
          <w:tcPr>
            <w:tcW w:w="1695" w:type="dxa"/>
            <w:vAlign w:val="center"/>
          </w:tcPr>
          <w:p w14:paraId="6A945832" w14:textId="4CC3C76B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256" w:type="dxa"/>
            <w:vAlign w:val="center"/>
          </w:tcPr>
          <w:p w14:paraId="58086788" w14:textId="017D4919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620EC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73FC6177" w14:textId="77777777" w:rsidR="006620EC" w:rsidRPr="003B625A" w:rsidRDefault="006620EC" w:rsidP="006620E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34341056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Páginas de la 260 a la 277.</w:t>
            </w:r>
          </w:p>
        </w:tc>
        <w:tc>
          <w:tcPr>
            <w:tcW w:w="2252" w:type="dxa"/>
            <w:vAlign w:val="center"/>
          </w:tcPr>
          <w:p w14:paraId="0F88FC55" w14:textId="027F84D2" w:rsidR="006620EC" w:rsidRPr="006620EC" w:rsidRDefault="006620EC" w:rsidP="006620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620E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Conozcamos y respetemos la diversidad cultural y sus formas de vida.</w:t>
            </w:r>
          </w:p>
        </w:tc>
        <w:tc>
          <w:tcPr>
            <w:tcW w:w="5464" w:type="dxa"/>
            <w:vAlign w:val="center"/>
          </w:tcPr>
          <w:p w14:paraId="1544F34B" w14:textId="207343F6" w:rsidR="006620EC" w:rsidRPr="00AD1658" w:rsidRDefault="006620EC" w:rsidP="006620EC">
            <w:pPr>
              <w:jc w:val="both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diversidad cultural para apreciarla y valorarla, pero también para evitar prejuicios o discriminación contra personas culturalmente diferentes que habitan en su entorno y, así, mejorar la convivencia pacífica entre todas ellas. En el pasado y en el presente la discriminación y los prejuicios han sido un problema social que debe atenderse. Para ello, trabajar en un programa de radio que difunda la riqueza multicultural.</w:t>
            </w:r>
          </w:p>
        </w:tc>
      </w:tr>
      <w:tr w:rsidR="006620EC" w:rsidRPr="00AD1658" w14:paraId="28903A2D" w14:textId="77777777" w:rsidTr="006620EC">
        <w:tc>
          <w:tcPr>
            <w:tcW w:w="1695" w:type="dxa"/>
            <w:vAlign w:val="center"/>
          </w:tcPr>
          <w:p w14:paraId="66EAD28D" w14:textId="0ABBC311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256" w:type="dxa"/>
            <w:vAlign w:val="center"/>
          </w:tcPr>
          <w:p w14:paraId="599C58D7" w14:textId="1D395C3F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6620E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620E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6C0A04C1" w14:textId="77777777" w:rsidR="006620EC" w:rsidRPr="003B625A" w:rsidRDefault="006620EC" w:rsidP="006620E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765553A" w:rsidR="006620EC" w:rsidRPr="00AD1658" w:rsidRDefault="006620EC" w:rsidP="006620EC">
            <w:pPr>
              <w:jc w:val="center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Páginas de la 184 a la 199.</w:t>
            </w:r>
          </w:p>
        </w:tc>
        <w:tc>
          <w:tcPr>
            <w:tcW w:w="2252" w:type="dxa"/>
            <w:vAlign w:val="center"/>
          </w:tcPr>
          <w:p w14:paraId="2010C993" w14:textId="74D27ADC" w:rsidR="006620EC" w:rsidRPr="006620EC" w:rsidRDefault="006620EC" w:rsidP="006620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620EC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Valoro la democracia y su historia.</w:t>
            </w:r>
          </w:p>
        </w:tc>
        <w:tc>
          <w:tcPr>
            <w:tcW w:w="5464" w:type="dxa"/>
            <w:vAlign w:val="center"/>
          </w:tcPr>
          <w:p w14:paraId="3F11CA71" w14:textId="7D45A185" w:rsidR="006620EC" w:rsidRPr="00AD1658" w:rsidRDefault="006620EC" w:rsidP="006620EC">
            <w:pPr>
              <w:jc w:val="both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importancia de la democracia, de construir acuerdos y participar de manera organizada en actividades en beneficio de la comunidad. Además, en colectivo, participar en una obra teatral en la cual se representará algún problema relacionado con la democracia.</w:t>
            </w:r>
          </w:p>
        </w:tc>
      </w:tr>
    </w:tbl>
    <w:p w14:paraId="099E919D" w14:textId="77777777" w:rsidR="002F59BC" w:rsidRDefault="002F59BC"/>
    <w:sectPr w:rsidR="002F59BC" w:rsidSect="003B5B5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A9BB" w14:textId="77777777" w:rsidR="003B5B5F" w:rsidRDefault="003B5B5F" w:rsidP="00C825A1">
      <w:pPr>
        <w:spacing w:after="0" w:line="240" w:lineRule="auto"/>
      </w:pPr>
      <w:r>
        <w:separator/>
      </w:r>
    </w:p>
  </w:endnote>
  <w:endnote w:type="continuationSeparator" w:id="0">
    <w:p w14:paraId="3411DA78" w14:textId="77777777" w:rsidR="003B5B5F" w:rsidRDefault="003B5B5F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199A" w14:textId="77777777" w:rsidR="003B5B5F" w:rsidRDefault="003B5B5F" w:rsidP="00C825A1">
      <w:pPr>
        <w:spacing w:after="0" w:line="240" w:lineRule="auto"/>
      </w:pPr>
      <w:r>
        <w:separator/>
      </w:r>
    </w:p>
  </w:footnote>
  <w:footnote w:type="continuationSeparator" w:id="0">
    <w:p w14:paraId="103902B1" w14:textId="77777777" w:rsidR="003B5B5F" w:rsidRDefault="003B5B5F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3010FA"/>
    <w:rsid w:val="003B5B5F"/>
    <w:rsid w:val="004104AA"/>
    <w:rsid w:val="006620EC"/>
    <w:rsid w:val="009A0C1C"/>
    <w:rsid w:val="009A5BC5"/>
    <w:rsid w:val="00AD1658"/>
    <w:rsid w:val="00B474F4"/>
    <w:rsid w:val="00B51E4C"/>
    <w:rsid w:val="00C65812"/>
    <w:rsid w:val="00C825A1"/>
    <w:rsid w:val="00C82D7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2024-04-07T02:46:00Z</dcterms:modified>
  <cp:category>www.DidacticosMx.com</cp:category>
</cp:coreProperties>
</file>