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2A720" w14:textId="212DFADC" w:rsidR="006348E4" w:rsidRDefault="006348E4" w:rsidP="006348E4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10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37E21772" w14:textId="0B41908B" w:rsidR="006348E4" w:rsidRDefault="006348E4" w:rsidP="006348E4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10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77AA3952" w14:textId="77777777" w:rsidR="006348E4" w:rsidRDefault="006348E4" w:rsidP="006348E4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5865E584" w14:textId="77777777" w:rsidR="006348E4" w:rsidRDefault="006348E4" w:rsidP="006348E4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5822D3FD" w14:textId="487F8955" w:rsidR="006348E4" w:rsidRDefault="006348E4" w:rsidP="006348E4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10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3 proyectos didácticos.</w:t>
      </w:r>
    </w:p>
    <w:p w14:paraId="5DA18F01" w14:textId="77777777" w:rsidR="006348E4" w:rsidRDefault="006348E4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66802893" w:rsidR="00AD1658" w:rsidRDefault="00C825A1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6to Grado</w:t>
      </w:r>
    </w:p>
    <w:p w14:paraId="77989C0C" w14:textId="771D39C9" w:rsidR="002E23F0" w:rsidRPr="00C825A1" w:rsidRDefault="000D3CF0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10. 22 ENERO AL 2 FEBRERO</w:t>
      </w: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547"/>
        <w:gridCol w:w="2551"/>
        <w:gridCol w:w="1843"/>
        <w:gridCol w:w="2552"/>
        <w:gridCol w:w="4897"/>
      </w:tblGrid>
      <w:tr w:rsidR="00AD1658" w:rsidRPr="00AD1658" w14:paraId="51312299" w14:textId="77777777" w:rsidTr="00C65812">
        <w:tc>
          <w:tcPr>
            <w:tcW w:w="14390" w:type="dxa"/>
            <w:gridSpan w:val="5"/>
            <w:shd w:val="clear" w:color="auto" w:fill="FF8F8F"/>
            <w:vAlign w:val="center"/>
          </w:tcPr>
          <w:p w14:paraId="7345A0A7" w14:textId="59359916" w:rsidR="00AD1658" w:rsidRPr="00AD1658" w:rsidRDefault="002E23F0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F85AC7">
        <w:tc>
          <w:tcPr>
            <w:tcW w:w="2547" w:type="dxa"/>
            <w:shd w:val="clear" w:color="auto" w:fill="FFD1D1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2551" w:type="dxa"/>
            <w:shd w:val="clear" w:color="auto" w:fill="FFD1D1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843" w:type="dxa"/>
            <w:shd w:val="clear" w:color="auto" w:fill="FFD1D1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552" w:type="dxa"/>
            <w:shd w:val="clear" w:color="auto" w:fill="FFD1D1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4897" w:type="dxa"/>
            <w:shd w:val="clear" w:color="auto" w:fill="FFD1D1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0D3CF0" w:rsidRPr="00AD1658" w14:paraId="3E0896F7" w14:textId="77777777" w:rsidTr="00F85AC7">
        <w:tc>
          <w:tcPr>
            <w:tcW w:w="2547" w:type="dxa"/>
            <w:vAlign w:val="center"/>
          </w:tcPr>
          <w:p w14:paraId="2615CD50" w14:textId="14310ACC" w:rsidR="000D3CF0" w:rsidRPr="00AD1658" w:rsidRDefault="000D3CF0" w:rsidP="00F85AC7">
            <w:pPr>
              <w:jc w:val="center"/>
              <w:rPr>
                <w:rFonts w:ascii="Century Gothic" w:hAnsi="Century Gothic"/>
              </w:rPr>
            </w:pPr>
            <w:r w:rsidRPr="000D3CF0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2551" w:type="dxa"/>
            <w:vAlign w:val="center"/>
          </w:tcPr>
          <w:p w14:paraId="2D724138" w14:textId="59F0E8A3" w:rsidR="000D3CF0" w:rsidRPr="00AD1658" w:rsidRDefault="000D3CF0" w:rsidP="00F85AC7">
            <w:pPr>
              <w:jc w:val="center"/>
              <w:rPr>
                <w:rFonts w:ascii="Century Gothic" w:hAnsi="Century Gothic"/>
              </w:rPr>
            </w:pPr>
            <w:r w:rsidRPr="000D3CF0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0D3CF0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0D3CF0">
              <w:rPr>
                <w:rFonts w:ascii="Century Gothic" w:hAnsi="Century Gothic"/>
              </w:rPr>
              <w:t>Igualdad de género</w:t>
            </w:r>
          </w:p>
        </w:tc>
        <w:tc>
          <w:tcPr>
            <w:tcW w:w="1843" w:type="dxa"/>
            <w:vAlign w:val="center"/>
          </w:tcPr>
          <w:p w14:paraId="432C67CF" w14:textId="77777777" w:rsidR="000D3CF0" w:rsidRPr="00977A92" w:rsidRDefault="000D3CF0" w:rsidP="00F85AC7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77A92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19974864" w:rsidR="000D3CF0" w:rsidRPr="00AD1658" w:rsidRDefault="000D3CF0" w:rsidP="00F85AC7">
            <w:pPr>
              <w:jc w:val="center"/>
              <w:rPr>
                <w:rFonts w:ascii="Century Gothic" w:hAnsi="Century Gothic"/>
              </w:rPr>
            </w:pPr>
            <w:r w:rsidRPr="00977A92">
              <w:rPr>
                <w:rFonts w:ascii="Century Gothic" w:hAnsi="Century Gothic" w:cs="Tahoma"/>
                <w:sz w:val="24"/>
                <w:szCs w:val="24"/>
              </w:rPr>
              <w:t>Páginas de la 330 a la 343.</w:t>
            </w:r>
          </w:p>
        </w:tc>
        <w:tc>
          <w:tcPr>
            <w:tcW w:w="2552" w:type="dxa"/>
            <w:vAlign w:val="center"/>
          </w:tcPr>
          <w:p w14:paraId="1C02C1AD" w14:textId="43E241CA" w:rsidR="000D3CF0" w:rsidRPr="00F85AC7" w:rsidRDefault="000D3CF0" w:rsidP="00F85AC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85AC7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¡Vamos a la Feria de juegos tradicionales!</w:t>
            </w:r>
          </w:p>
        </w:tc>
        <w:tc>
          <w:tcPr>
            <w:tcW w:w="4897" w:type="dxa"/>
            <w:vAlign w:val="center"/>
          </w:tcPr>
          <w:p w14:paraId="30CCDB5F" w14:textId="14AFF722" w:rsidR="000D3CF0" w:rsidRPr="00AD1658" w:rsidRDefault="000D3CF0" w:rsidP="00F85AC7">
            <w:pPr>
              <w:jc w:val="both"/>
              <w:rPr>
                <w:rFonts w:ascii="Century Gothic" w:hAnsi="Century Gothic"/>
              </w:rPr>
            </w:pPr>
            <w:r w:rsidRPr="00977A92">
              <w:rPr>
                <w:rFonts w:ascii="Century Gothic" w:hAnsi="Century Gothic" w:cs="Tahoma"/>
                <w:kern w:val="0"/>
                <w:sz w:val="24"/>
                <w:szCs w:val="24"/>
              </w:rPr>
              <w:t>Organizar, junto con sus compañeras y compañeros de comunidad escolar, la Feria de juegos tradicionales de la escuela. Durante su planeación y realización, establecer acuerdos y asignar roles de participación de manera conjunta. Además, trabajar equitativamente para el logro de objetivos comunes.</w:t>
            </w:r>
          </w:p>
        </w:tc>
      </w:tr>
      <w:tr w:rsidR="00F85AC7" w:rsidRPr="00AD1658" w14:paraId="11363062" w14:textId="77777777" w:rsidTr="00F85AC7">
        <w:tc>
          <w:tcPr>
            <w:tcW w:w="2547" w:type="dxa"/>
            <w:vAlign w:val="center"/>
          </w:tcPr>
          <w:p w14:paraId="6A945832" w14:textId="500FF8B9" w:rsidR="00F85AC7" w:rsidRPr="00AD1658" w:rsidRDefault="00F85AC7" w:rsidP="00F85AC7">
            <w:pPr>
              <w:jc w:val="center"/>
              <w:rPr>
                <w:rFonts w:ascii="Century Gothic" w:hAnsi="Century Gothic"/>
              </w:rPr>
            </w:pPr>
            <w:r w:rsidRPr="00F85AC7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2551" w:type="dxa"/>
            <w:vAlign w:val="center"/>
          </w:tcPr>
          <w:p w14:paraId="58086788" w14:textId="7B03FDDB" w:rsidR="00F85AC7" w:rsidRPr="00AD1658" w:rsidRDefault="00F85AC7" w:rsidP="00F85AC7">
            <w:pPr>
              <w:jc w:val="center"/>
              <w:rPr>
                <w:rFonts w:ascii="Century Gothic" w:hAnsi="Century Gothic"/>
              </w:rPr>
            </w:pPr>
            <w:r w:rsidRPr="00F85AC7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F85AC7">
              <w:rPr>
                <w:rFonts w:ascii="Century Gothic" w:hAnsi="Century Gothic"/>
              </w:rPr>
              <w:t>Vida saludable</w:t>
            </w:r>
          </w:p>
        </w:tc>
        <w:tc>
          <w:tcPr>
            <w:tcW w:w="1843" w:type="dxa"/>
            <w:vAlign w:val="center"/>
          </w:tcPr>
          <w:p w14:paraId="082E8A77" w14:textId="77777777" w:rsidR="00F85AC7" w:rsidRPr="003B625A" w:rsidRDefault="00F85AC7" w:rsidP="00F85AC7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3B625A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5789F6D" w14:textId="7C82A04A" w:rsidR="00F85AC7" w:rsidRPr="00AD1658" w:rsidRDefault="00F85AC7" w:rsidP="00F85AC7">
            <w:pPr>
              <w:jc w:val="center"/>
              <w:rPr>
                <w:rFonts w:ascii="Century Gothic" w:hAnsi="Century Gothic"/>
              </w:rPr>
            </w:pPr>
            <w:r w:rsidRPr="003B625A">
              <w:rPr>
                <w:rFonts w:ascii="Century Gothic" w:hAnsi="Century Gothic" w:cs="Tahoma"/>
                <w:sz w:val="24"/>
                <w:szCs w:val="24"/>
              </w:rPr>
              <w:t>Páginas de la 178 a la 193.</w:t>
            </w:r>
          </w:p>
        </w:tc>
        <w:tc>
          <w:tcPr>
            <w:tcW w:w="2552" w:type="dxa"/>
            <w:vAlign w:val="center"/>
          </w:tcPr>
          <w:p w14:paraId="0F88FC55" w14:textId="0DC58F64" w:rsidR="00F85AC7" w:rsidRPr="00F85AC7" w:rsidRDefault="00F85AC7" w:rsidP="00F85AC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85AC7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Comité Escolar de Prevención de Desastres.</w:t>
            </w:r>
          </w:p>
        </w:tc>
        <w:tc>
          <w:tcPr>
            <w:tcW w:w="4897" w:type="dxa"/>
            <w:vAlign w:val="center"/>
          </w:tcPr>
          <w:p w14:paraId="1544F34B" w14:textId="1643B743" w:rsidR="00F85AC7" w:rsidRPr="00AD1658" w:rsidRDefault="00F85AC7" w:rsidP="00F85AC7">
            <w:pPr>
              <w:jc w:val="both"/>
              <w:rPr>
                <w:rFonts w:ascii="Century Gothic" w:hAnsi="Century Gothic"/>
              </w:rPr>
            </w:pPr>
            <w:r w:rsidRPr="003B625A">
              <w:rPr>
                <w:rFonts w:ascii="Century Gothic" w:hAnsi="Century Gothic" w:cs="Tahoma"/>
                <w:kern w:val="0"/>
                <w:sz w:val="24"/>
                <w:szCs w:val="24"/>
              </w:rPr>
              <w:t>Usar el diálogo como herramienta para llegar a acuerdos con el fin de crear un Comité Escolar de Prevención de Desastres. Para ello, analizar el impacto que los fenómenos naturales y antrópicos han tenido en el mundo, y cómo se requiere que las personas estén atentas ante los posibles desastres y las crisis humanitarias que pudieran surgir.</w:t>
            </w:r>
          </w:p>
        </w:tc>
      </w:tr>
      <w:tr w:rsidR="00F85AC7" w:rsidRPr="00AD1658" w14:paraId="28903A2D" w14:textId="77777777" w:rsidTr="00F85AC7">
        <w:tc>
          <w:tcPr>
            <w:tcW w:w="2547" w:type="dxa"/>
            <w:vAlign w:val="center"/>
          </w:tcPr>
          <w:p w14:paraId="66EAD28D" w14:textId="0349B678" w:rsidR="00F85AC7" w:rsidRPr="00AD1658" w:rsidRDefault="00F85AC7" w:rsidP="00F85AC7">
            <w:pPr>
              <w:jc w:val="center"/>
              <w:rPr>
                <w:rFonts w:ascii="Century Gothic" w:hAnsi="Century Gothic"/>
              </w:rPr>
            </w:pPr>
            <w:r w:rsidRPr="00F85AC7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2551" w:type="dxa"/>
            <w:vAlign w:val="center"/>
          </w:tcPr>
          <w:p w14:paraId="599C58D7" w14:textId="28EB0323" w:rsidR="00F85AC7" w:rsidRPr="00AD1658" w:rsidRDefault="00F85AC7" w:rsidP="00F85AC7">
            <w:pPr>
              <w:jc w:val="center"/>
              <w:rPr>
                <w:rFonts w:ascii="Century Gothic" w:hAnsi="Century Gothic"/>
              </w:rPr>
            </w:pPr>
            <w:r w:rsidRPr="00F85AC7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F85AC7">
              <w:rPr>
                <w:rFonts w:ascii="Century Gothic" w:hAnsi="Century Gothic"/>
              </w:rPr>
              <w:t>Vida saludable</w:t>
            </w:r>
            <w:r>
              <w:rPr>
                <w:rFonts w:ascii="Century Gothic" w:hAnsi="Century Gothic"/>
              </w:rPr>
              <w:t xml:space="preserve">, </w:t>
            </w:r>
            <w:r w:rsidRPr="00F85AC7">
              <w:rPr>
                <w:rFonts w:ascii="Century Gothic" w:hAnsi="Century Gothic"/>
              </w:rPr>
              <w:t>Apropiación de las culturas a través de la lectura y la escritura</w:t>
            </w:r>
          </w:p>
        </w:tc>
        <w:tc>
          <w:tcPr>
            <w:tcW w:w="1843" w:type="dxa"/>
            <w:vAlign w:val="center"/>
          </w:tcPr>
          <w:p w14:paraId="3EDA4CD2" w14:textId="77777777" w:rsidR="00F85AC7" w:rsidRPr="003B625A" w:rsidRDefault="00F85AC7" w:rsidP="00F85AC7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3B625A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E092657" w14:textId="57C1F911" w:rsidR="00F85AC7" w:rsidRPr="00AD1658" w:rsidRDefault="00F85AC7" w:rsidP="00F85AC7">
            <w:pPr>
              <w:jc w:val="center"/>
              <w:rPr>
                <w:rFonts w:ascii="Century Gothic" w:hAnsi="Century Gothic"/>
              </w:rPr>
            </w:pPr>
            <w:r w:rsidRPr="003B625A">
              <w:rPr>
                <w:rFonts w:ascii="Century Gothic" w:hAnsi="Century Gothic" w:cs="Tahoma"/>
                <w:sz w:val="24"/>
                <w:szCs w:val="24"/>
              </w:rPr>
              <w:t>Páginas de la 180 a la 189.</w:t>
            </w:r>
          </w:p>
        </w:tc>
        <w:tc>
          <w:tcPr>
            <w:tcW w:w="2552" w:type="dxa"/>
            <w:vAlign w:val="center"/>
          </w:tcPr>
          <w:p w14:paraId="2010C993" w14:textId="4038D8B2" w:rsidR="00F85AC7" w:rsidRPr="00F85AC7" w:rsidRDefault="00F85AC7" w:rsidP="00F85AC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85AC7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¡Se van para no volver!</w:t>
            </w:r>
          </w:p>
        </w:tc>
        <w:tc>
          <w:tcPr>
            <w:tcW w:w="4897" w:type="dxa"/>
            <w:vAlign w:val="center"/>
          </w:tcPr>
          <w:p w14:paraId="3F11CA71" w14:textId="1DAE45D3" w:rsidR="00F85AC7" w:rsidRPr="00AD1658" w:rsidRDefault="00F85AC7" w:rsidP="00F85AC7">
            <w:pPr>
              <w:jc w:val="both"/>
              <w:rPr>
                <w:rFonts w:ascii="Century Gothic" w:hAnsi="Century Gothic"/>
              </w:rPr>
            </w:pPr>
            <w:r w:rsidRPr="003B625A">
              <w:rPr>
                <w:rFonts w:ascii="Century Gothic" w:hAnsi="Century Gothic" w:cs="Tahoma"/>
                <w:kern w:val="0"/>
                <w:sz w:val="24"/>
                <w:szCs w:val="24"/>
              </w:rPr>
              <w:t>Analizar costos y beneficios del consumo de energía eléctrica y combustibles en su hogar, a partir de su cálculo con información real. Elaborar propuestas de reducción de su consumo y proponer algún artefacto que pueda ayudar a disminuir el uso de energía eléctrica en su casa.</w:t>
            </w:r>
          </w:p>
        </w:tc>
      </w:tr>
    </w:tbl>
    <w:p w14:paraId="099E919D" w14:textId="77777777" w:rsidR="002F59BC" w:rsidRDefault="002F59BC"/>
    <w:sectPr w:rsidR="002F59BC" w:rsidSect="0069421A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164C8" w14:textId="77777777" w:rsidR="0069421A" w:rsidRDefault="0069421A" w:rsidP="00C825A1">
      <w:pPr>
        <w:spacing w:after="0" w:line="240" w:lineRule="auto"/>
      </w:pPr>
      <w:r>
        <w:separator/>
      </w:r>
    </w:p>
  </w:endnote>
  <w:endnote w:type="continuationSeparator" w:id="0">
    <w:p w14:paraId="561FF7EE" w14:textId="77777777" w:rsidR="0069421A" w:rsidRDefault="0069421A" w:rsidP="00C8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FFF58" w14:textId="77777777" w:rsidR="0069421A" w:rsidRDefault="0069421A" w:rsidP="00C825A1">
      <w:pPr>
        <w:spacing w:after="0" w:line="240" w:lineRule="auto"/>
      </w:pPr>
      <w:r>
        <w:separator/>
      </w:r>
    </w:p>
  </w:footnote>
  <w:footnote w:type="continuationSeparator" w:id="0">
    <w:p w14:paraId="3424C3B3" w14:textId="77777777" w:rsidR="0069421A" w:rsidRDefault="0069421A" w:rsidP="00C82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5B861" w14:textId="0DA4F84B" w:rsidR="00C825A1" w:rsidRPr="00C825A1" w:rsidRDefault="00C825A1" w:rsidP="00C825A1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97586E9" wp14:editId="202070DE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1229032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D3CF0"/>
    <w:rsid w:val="00113749"/>
    <w:rsid w:val="002E23F0"/>
    <w:rsid w:val="002F59BC"/>
    <w:rsid w:val="003B25AA"/>
    <w:rsid w:val="004104AA"/>
    <w:rsid w:val="006348E4"/>
    <w:rsid w:val="0069421A"/>
    <w:rsid w:val="009A5BC5"/>
    <w:rsid w:val="00AD1658"/>
    <w:rsid w:val="00B474F4"/>
    <w:rsid w:val="00B51E4C"/>
    <w:rsid w:val="00C65812"/>
    <w:rsid w:val="00C825A1"/>
    <w:rsid w:val="00C82D7E"/>
    <w:rsid w:val="00F85AC7"/>
    <w:rsid w:val="00FD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5A1"/>
  </w:style>
  <w:style w:type="paragraph" w:styleId="Piedepgina">
    <w:name w:val="footer"/>
    <w:basedOn w:val="Normal"/>
    <w:link w:val="Piedepgina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3</cp:revision>
  <dcterms:created xsi:type="dcterms:W3CDTF">2023-08-21T19:57:00Z</dcterms:created>
  <dcterms:modified xsi:type="dcterms:W3CDTF">2024-04-07T02:46:00Z</dcterms:modified>
  <cp:category>www.DidacticosMx.com</cp:category>
</cp:coreProperties>
</file>