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6850" w14:textId="614C60C6" w:rsidR="00D07F9C" w:rsidRDefault="00D07F9C" w:rsidP="00D07F9C">
      <w:pPr>
        <w:jc w:val="center"/>
        <w:rPr>
          <w:rFonts w:ascii="Century Gothic" w:hAnsi="Century Gothic"/>
          <w:b/>
          <w:bCs/>
          <w:color w:val="0D0D0D" w:themeColor="text1" w:themeTint="F2"/>
          <w:sz w:val="44"/>
          <w:szCs w:val="44"/>
        </w:rPr>
      </w:pPr>
      <w:r>
        <w:rPr>
          <w:rFonts w:ascii="Century Gothic" w:hAnsi="Century Gothic"/>
          <w:b/>
          <w:bCs/>
          <w:color w:val="0D0D0D" w:themeColor="text1" w:themeTint="F2"/>
          <w:sz w:val="44"/>
          <w:szCs w:val="44"/>
        </w:rPr>
        <w:t xml:space="preserve">PROYECTOS DEL PERIODO </w:t>
      </w:r>
      <w:r>
        <w:rPr>
          <w:rFonts w:ascii="Century Gothic" w:hAnsi="Century Gothic"/>
          <w:b/>
          <w:bCs/>
          <w:color w:val="0D0D0D" w:themeColor="text1" w:themeTint="F2"/>
          <w:sz w:val="44"/>
          <w:szCs w:val="44"/>
        </w:rPr>
        <w:t>7</w:t>
      </w:r>
      <w:r>
        <w:rPr>
          <w:rFonts w:ascii="Century Gothic" w:hAnsi="Century Gothic"/>
          <w:b/>
          <w:bCs/>
          <w:color w:val="0D0D0D" w:themeColor="text1" w:themeTint="F2"/>
          <w:sz w:val="44"/>
          <w:szCs w:val="44"/>
        </w:rPr>
        <w:t>:</w:t>
      </w:r>
    </w:p>
    <w:p w14:paraId="092D8CC6" w14:textId="2C6607F7" w:rsidR="00D07F9C" w:rsidRDefault="00D07F9C" w:rsidP="00D07F9C">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En este documento se encuentra la dosificación del Periodo de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7</w:t>
      </w:r>
      <w:r>
        <w:rPr>
          <w:rFonts w:ascii="Century Gothic" w:hAnsi="Century Gothic"/>
          <w:color w:val="0D0D0D" w:themeColor="text1" w:themeTint="F2"/>
          <w:sz w:val="36"/>
          <w:szCs w:val="36"/>
        </w:rPr>
        <w:t xml:space="preserve">. Aquí puede consultar los contenidos, campos y ejes de cada uno de los proyectos. Es muy importante que sepa que: </w:t>
      </w:r>
      <w:r>
        <w:rPr>
          <w:rFonts w:ascii="Century Gothic" w:hAnsi="Century Gothic"/>
          <w:color w:val="0D0D0D" w:themeColor="text1" w:themeTint="F2"/>
          <w:sz w:val="36"/>
          <w:szCs w:val="36"/>
          <w:u w:val="single"/>
        </w:rPr>
        <w:t>ESTOS PROYECTOS SE PUEDEN APLICAR EN CUALQUIER MOMENTO DEL AÑO</w:t>
      </w:r>
      <w:r>
        <w:rPr>
          <w:rFonts w:ascii="Century Gothic" w:hAnsi="Century Gothic"/>
          <w:color w:val="0D0D0D" w:themeColor="text1" w:themeTint="F2"/>
          <w:sz w:val="36"/>
          <w:szCs w:val="36"/>
        </w:rPr>
        <w:t>.</w:t>
      </w:r>
    </w:p>
    <w:p w14:paraId="337E34E3" w14:textId="77777777" w:rsidR="00D07F9C" w:rsidRDefault="00D07F9C" w:rsidP="00D07F9C">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Con esta información, comprenderás mejor los objetivos de cada proyecto y cómo se integran diferentes áreas del conocimiento.</w:t>
      </w:r>
    </w:p>
    <w:p w14:paraId="0BBFC1B5" w14:textId="77777777" w:rsidR="00D07F9C" w:rsidRDefault="00D07F9C" w:rsidP="00D07F9C">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Nuestros proyectos son únicos, ya que combinan contenidos y habilidades de dos o más campos de formación en una misma propuesta. De esta forma, la planeación se ajusta a los planes y programas de estudio de la Nueva Escuela Mexicana.</w:t>
      </w:r>
    </w:p>
    <w:p w14:paraId="5676FD0B" w14:textId="6AC8976C" w:rsidR="00D07F9C" w:rsidRDefault="00D07F9C" w:rsidP="00D07F9C">
      <w:pPr>
        <w:jc w:val="both"/>
        <w:rPr>
          <w:rFonts w:ascii="Century Gothic" w:hAnsi="Century Gothic"/>
          <w:color w:val="0D0D0D" w:themeColor="text1" w:themeTint="F2"/>
          <w:sz w:val="36"/>
          <w:szCs w:val="36"/>
        </w:rPr>
      </w:pPr>
      <w:r>
        <w:rPr>
          <w:rFonts w:ascii="Century Gothic" w:hAnsi="Century Gothic"/>
          <w:color w:val="0D0D0D" w:themeColor="text1" w:themeTint="F2"/>
          <w:sz w:val="36"/>
          <w:szCs w:val="36"/>
        </w:rPr>
        <w:t xml:space="preserve">El paquete del </w:t>
      </w:r>
      <w:r>
        <w:rPr>
          <w:rFonts w:ascii="Century Gothic" w:hAnsi="Century Gothic"/>
          <w:b/>
          <w:bCs/>
          <w:color w:val="0D0D0D" w:themeColor="text1" w:themeTint="F2"/>
          <w:sz w:val="36"/>
          <w:szCs w:val="36"/>
        </w:rPr>
        <w:t xml:space="preserve">PERIODO </w:t>
      </w:r>
      <w:r>
        <w:rPr>
          <w:rFonts w:ascii="Century Gothic" w:hAnsi="Century Gothic"/>
          <w:b/>
          <w:bCs/>
          <w:color w:val="0D0D0D" w:themeColor="text1" w:themeTint="F2"/>
          <w:sz w:val="36"/>
          <w:szCs w:val="36"/>
        </w:rPr>
        <w:t>7</w:t>
      </w:r>
      <w:r>
        <w:rPr>
          <w:rFonts w:ascii="Century Gothic" w:hAnsi="Century Gothic"/>
          <w:color w:val="0D0D0D" w:themeColor="text1" w:themeTint="F2"/>
          <w:sz w:val="36"/>
          <w:szCs w:val="36"/>
        </w:rPr>
        <w:t xml:space="preserve"> incluye 3 proyectos didácticos.</w:t>
      </w:r>
    </w:p>
    <w:p w14:paraId="60A64AB5" w14:textId="77777777" w:rsidR="00D07F9C" w:rsidRDefault="00D07F9C">
      <w:pPr>
        <w:rPr>
          <w:rFonts w:ascii="Century Gothic" w:hAnsi="Century Gothic"/>
          <w:b/>
          <w:bCs/>
          <w:sz w:val="32"/>
          <w:szCs w:val="32"/>
        </w:rPr>
      </w:pPr>
      <w:r>
        <w:rPr>
          <w:rFonts w:ascii="Century Gothic" w:hAnsi="Century Gothic"/>
          <w:b/>
          <w:bCs/>
          <w:sz w:val="32"/>
          <w:szCs w:val="32"/>
        </w:rPr>
        <w:br w:type="page"/>
      </w:r>
    </w:p>
    <w:p w14:paraId="19ADF972" w14:textId="40643DDE"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lastRenderedPageBreak/>
        <w:t>6to Grado</w:t>
      </w:r>
    </w:p>
    <w:p w14:paraId="77989C0C" w14:textId="1D2CB95C" w:rsidR="002E23F0" w:rsidRPr="00C825A1" w:rsidRDefault="002E23F0" w:rsidP="00C825A1">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36"/>
        <w:gridCol w:w="2996"/>
        <w:gridCol w:w="1723"/>
        <w:gridCol w:w="2588"/>
        <w:gridCol w:w="4047"/>
      </w:tblGrid>
      <w:tr w:rsidR="00AD1658" w:rsidRPr="00DC4969" w14:paraId="51312299" w14:textId="77777777" w:rsidTr="00C65812">
        <w:tc>
          <w:tcPr>
            <w:tcW w:w="14390" w:type="dxa"/>
            <w:gridSpan w:val="5"/>
            <w:shd w:val="clear" w:color="auto" w:fill="FF8F8F"/>
            <w:vAlign w:val="center"/>
          </w:tcPr>
          <w:p w14:paraId="7345A0A7" w14:textId="59359916" w:rsidR="00AD1658" w:rsidRPr="00DC4969" w:rsidRDefault="002E23F0" w:rsidP="00AD1658">
            <w:pPr>
              <w:jc w:val="center"/>
              <w:rPr>
                <w:rFonts w:ascii="Century Gothic" w:hAnsi="Century Gothic"/>
                <w:b/>
                <w:bCs/>
                <w:sz w:val="26"/>
                <w:szCs w:val="26"/>
              </w:rPr>
            </w:pPr>
            <w:r w:rsidRPr="00DC4969">
              <w:rPr>
                <w:rFonts w:ascii="Century Gothic" w:hAnsi="Century Gothic"/>
                <w:b/>
                <w:bCs/>
                <w:sz w:val="26"/>
                <w:szCs w:val="26"/>
              </w:rPr>
              <w:t>DOSIFICACIÓN</w:t>
            </w:r>
          </w:p>
        </w:tc>
      </w:tr>
      <w:tr w:rsidR="00AD1658" w:rsidRPr="00DC4969" w14:paraId="0ED89697" w14:textId="77777777" w:rsidTr="0044019F">
        <w:tc>
          <w:tcPr>
            <w:tcW w:w="3036" w:type="dxa"/>
            <w:shd w:val="clear" w:color="auto" w:fill="FFD1D1"/>
            <w:vAlign w:val="center"/>
          </w:tcPr>
          <w:p w14:paraId="2010CF81" w14:textId="0E05CB10" w:rsidR="00AD1658" w:rsidRPr="00DC4969" w:rsidRDefault="00AD1658" w:rsidP="00AD1658">
            <w:pPr>
              <w:jc w:val="center"/>
              <w:rPr>
                <w:rFonts w:ascii="Century Gothic" w:hAnsi="Century Gothic"/>
                <w:b/>
                <w:bCs/>
                <w:sz w:val="26"/>
                <w:szCs w:val="26"/>
              </w:rPr>
            </w:pPr>
            <w:r w:rsidRPr="00DC4969">
              <w:rPr>
                <w:rFonts w:ascii="Century Gothic" w:hAnsi="Century Gothic"/>
                <w:b/>
                <w:bCs/>
                <w:sz w:val="26"/>
                <w:szCs w:val="26"/>
              </w:rPr>
              <w:t>Campo Formativo</w:t>
            </w:r>
          </w:p>
        </w:tc>
        <w:tc>
          <w:tcPr>
            <w:tcW w:w="2996" w:type="dxa"/>
            <w:shd w:val="clear" w:color="auto" w:fill="FFD1D1"/>
            <w:vAlign w:val="center"/>
          </w:tcPr>
          <w:p w14:paraId="3FF55929" w14:textId="2775533F" w:rsidR="00AD1658" w:rsidRPr="00DC4969" w:rsidRDefault="00AD1658" w:rsidP="00AD1658">
            <w:pPr>
              <w:jc w:val="center"/>
              <w:rPr>
                <w:rFonts w:ascii="Century Gothic" w:hAnsi="Century Gothic"/>
                <w:b/>
                <w:bCs/>
                <w:sz w:val="26"/>
                <w:szCs w:val="26"/>
              </w:rPr>
            </w:pPr>
            <w:r w:rsidRPr="00DC4969">
              <w:rPr>
                <w:rFonts w:ascii="Century Gothic" w:hAnsi="Century Gothic"/>
                <w:b/>
                <w:bCs/>
                <w:sz w:val="26"/>
                <w:szCs w:val="26"/>
              </w:rPr>
              <w:t>Ejes articuladores</w:t>
            </w:r>
          </w:p>
        </w:tc>
        <w:tc>
          <w:tcPr>
            <w:tcW w:w="1723" w:type="dxa"/>
            <w:shd w:val="clear" w:color="auto" w:fill="FFD1D1"/>
            <w:vAlign w:val="center"/>
          </w:tcPr>
          <w:p w14:paraId="426A56CE" w14:textId="6F50816E" w:rsidR="00AD1658" w:rsidRPr="00DC4969" w:rsidRDefault="00AD1658" w:rsidP="00AD1658">
            <w:pPr>
              <w:jc w:val="center"/>
              <w:rPr>
                <w:rFonts w:ascii="Century Gothic" w:hAnsi="Century Gothic"/>
                <w:b/>
                <w:bCs/>
                <w:sz w:val="26"/>
                <w:szCs w:val="26"/>
              </w:rPr>
            </w:pPr>
            <w:r w:rsidRPr="00DC4969">
              <w:rPr>
                <w:rFonts w:ascii="Century Gothic" w:hAnsi="Century Gothic"/>
                <w:b/>
                <w:bCs/>
                <w:sz w:val="26"/>
                <w:szCs w:val="26"/>
              </w:rPr>
              <w:t>Escenario</w:t>
            </w:r>
          </w:p>
        </w:tc>
        <w:tc>
          <w:tcPr>
            <w:tcW w:w="2588" w:type="dxa"/>
            <w:shd w:val="clear" w:color="auto" w:fill="FFD1D1"/>
            <w:vAlign w:val="center"/>
          </w:tcPr>
          <w:p w14:paraId="0490FFAC" w14:textId="4AF7C1E6" w:rsidR="00AD1658" w:rsidRPr="00DC4969" w:rsidRDefault="00AD1658" w:rsidP="00AD1658">
            <w:pPr>
              <w:jc w:val="center"/>
              <w:rPr>
                <w:rFonts w:ascii="Century Gothic" w:hAnsi="Century Gothic"/>
                <w:b/>
                <w:bCs/>
                <w:sz w:val="26"/>
                <w:szCs w:val="26"/>
              </w:rPr>
            </w:pPr>
            <w:r w:rsidRPr="00DC4969">
              <w:rPr>
                <w:rFonts w:ascii="Century Gothic" w:hAnsi="Century Gothic"/>
                <w:b/>
                <w:bCs/>
                <w:sz w:val="26"/>
                <w:szCs w:val="26"/>
              </w:rPr>
              <w:t>Nombre del proyecto</w:t>
            </w:r>
          </w:p>
        </w:tc>
        <w:tc>
          <w:tcPr>
            <w:tcW w:w="4047" w:type="dxa"/>
            <w:shd w:val="clear" w:color="auto" w:fill="FFD1D1"/>
            <w:vAlign w:val="center"/>
          </w:tcPr>
          <w:p w14:paraId="49AD0D00" w14:textId="0DD44579" w:rsidR="00AD1658" w:rsidRPr="00DC4969" w:rsidRDefault="00AD1658" w:rsidP="00AD1658">
            <w:pPr>
              <w:jc w:val="center"/>
              <w:rPr>
                <w:rFonts w:ascii="Century Gothic" w:hAnsi="Century Gothic"/>
                <w:b/>
                <w:bCs/>
                <w:sz w:val="26"/>
                <w:szCs w:val="26"/>
              </w:rPr>
            </w:pPr>
            <w:r w:rsidRPr="00DC4969">
              <w:rPr>
                <w:rFonts w:ascii="Century Gothic" w:hAnsi="Century Gothic"/>
                <w:b/>
                <w:bCs/>
                <w:sz w:val="26"/>
                <w:szCs w:val="26"/>
              </w:rPr>
              <w:t>Propósito</w:t>
            </w:r>
          </w:p>
        </w:tc>
      </w:tr>
      <w:tr w:rsidR="00DC4969" w:rsidRPr="00DC4969" w14:paraId="3E0896F7" w14:textId="77777777" w:rsidTr="0044019F">
        <w:tc>
          <w:tcPr>
            <w:tcW w:w="3036" w:type="dxa"/>
            <w:vAlign w:val="center"/>
          </w:tcPr>
          <w:p w14:paraId="2615CD50" w14:textId="1F67EEE0" w:rsidR="00DC4969" w:rsidRPr="00DC4969" w:rsidRDefault="00DC4969" w:rsidP="00DC4969">
            <w:pPr>
              <w:rPr>
                <w:rFonts w:ascii="Century Gothic" w:hAnsi="Century Gothic"/>
              </w:rPr>
            </w:pPr>
            <w:r w:rsidRPr="00DC4969">
              <w:rPr>
                <w:rFonts w:ascii="Century Gothic" w:hAnsi="Century Gothic"/>
                <w:kern w:val="0"/>
                <w14:ligatures w14:val="none"/>
              </w:rPr>
              <w:t>Saberes y pensamiento científico</w:t>
            </w:r>
          </w:p>
        </w:tc>
        <w:tc>
          <w:tcPr>
            <w:tcW w:w="2996" w:type="dxa"/>
            <w:vAlign w:val="center"/>
          </w:tcPr>
          <w:p w14:paraId="173ADC34" w14:textId="77777777" w:rsidR="00DC4969" w:rsidRPr="00DC4969" w:rsidRDefault="00DC4969" w:rsidP="00DC4969">
            <w:pPr>
              <w:rPr>
                <w:rFonts w:ascii="Century Gothic" w:hAnsi="Century Gothic"/>
              </w:rPr>
            </w:pPr>
            <w:r w:rsidRPr="00DC4969">
              <w:rPr>
                <w:rFonts w:ascii="Century Gothic" w:hAnsi="Century Gothic"/>
              </w:rPr>
              <w:t>Pensamiento crítico</w:t>
            </w:r>
          </w:p>
          <w:p w14:paraId="79B4D032" w14:textId="77777777" w:rsidR="00DC4969" w:rsidRPr="00DC4969" w:rsidRDefault="00DC4969" w:rsidP="00DC4969">
            <w:pPr>
              <w:rPr>
                <w:rFonts w:ascii="Century Gothic" w:hAnsi="Century Gothic"/>
              </w:rPr>
            </w:pPr>
            <w:r w:rsidRPr="00DC4969">
              <w:rPr>
                <w:rFonts w:ascii="Century Gothic" w:hAnsi="Century Gothic"/>
              </w:rPr>
              <w:t xml:space="preserve">Interculturalidad critica </w:t>
            </w:r>
          </w:p>
          <w:p w14:paraId="43187680" w14:textId="77777777" w:rsidR="00DC4969" w:rsidRPr="00DC4969" w:rsidRDefault="00DC4969" w:rsidP="00DC4969">
            <w:pPr>
              <w:rPr>
                <w:rFonts w:ascii="Century Gothic" w:hAnsi="Century Gothic"/>
              </w:rPr>
            </w:pPr>
            <w:r w:rsidRPr="00DC4969">
              <w:rPr>
                <w:rFonts w:ascii="Century Gothic" w:hAnsi="Century Gothic"/>
              </w:rPr>
              <w:t xml:space="preserve">Artes y experiencias estéticas </w:t>
            </w:r>
          </w:p>
          <w:p w14:paraId="2D724138" w14:textId="5543CE9E" w:rsidR="00DC4969" w:rsidRPr="00DC4969" w:rsidRDefault="00DC4969" w:rsidP="00DC4969">
            <w:pPr>
              <w:rPr>
                <w:rFonts w:ascii="Century Gothic" w:hAnsi="Century Gothic"/>
              </w:rPr>
            </w:pPr>
          </w:p>
        </w:tc>
        <w:tc>
          <w:tcPr>
            <w:tcW w:w="1723" w:type="dxa"/>
            <w:vAlign w:val="center"/>
          </w:tcPr>
          <w:p w14:paraId="5DD7D69B" w14:textId="77777777" w:rsidR="00DC4969" w:rsidRPr="00DC4969" w:rsidRDefault="00DC4969" w:rsidP="00DC4969">
            <w:pPr>
              <w:jc w:val="center"/>
              <w:rPr>
                <w:rFonts w:ascii="Century Gothic" w:hAnsi="Century Gothic" w:cs="Tahoma"/>
                <w:sz w:val="24"/>
                <w:szCs w:val="24"/>
              </w:rPr>
            </w:pPr>
            <w:r w:rsidRPr="00DC4969">
              <w:rPr>
                <w:rFonts w:ascii="Century Gothic" w:hAnsi="Century Gothic" w:cs="Tahoma"/>
                <w:sz w:val="24"/>
                <w:szCs w:val="24"/>
              </w:rPr>
              <w:t>Comunitario.</w:t>
            </w:r>
          </w:p>
          <w:p w14:paraId="133CBBF1" w14:textId="3C50DDD6" w:rsidR="00DC4969" w:rsidRPr="00DC4969" w:rsidRDefault="00DC4969" w:rsidP="00DC4969">
            <w:pPr>
              <w:rPr>
                <w:rFonts w:ascii="Century Gothic" w:hAnsi="Century Gothic"/>
              </w:rPr>
            </w:pPr>
            <w:r w:rsidRPr="00DC4969">
              <w:rPr>
                <w:rFonts w:ascii="Century Gothic" w:hAnsi="Century Gothic" w:cs="Tahoma"/>
                <w:sz w:val="24"/>
                <w:szCs w:val="24"/>
              </w:rPr>
              <w:t>Páginas de la 130 a la 143.</w:t>
            </w:r>
          </w:p>
        </w:tc>
        <w:tc>
          <w:tcPr>
            <w:tcW w:w="2588" w:type="dxa"/>
            <w:vAlign w:val="center"/>
          </w:tcPr>
          <w:p w14:paraId="1C02C1AD" w14:textId="3169C7BF" w:rsidR="00DC4969" w:rsidRPr="00DC4969" w:rsidRDefault="00DC4969" w:rsidP="00DC4969">
            <w:pPr>
              <w:rPr>
                <w:rFonts w:ascii="Century Gothic" w:hAnsi="Century Gothic"/>
              </w:rPr>
            </w:pPr>
            <w:r w:rsidRPr="00DC4969">
              <w:rPr>
                <w:rFonts w:ascii="Century Gothic" w:hAnsi="Century Gothic" w:cs="Tahoma"/>
                <w:kern w:val="0"/>
                <w:sz w:val="24"/>
                <w:szCs w:val="24"/>
              </w:rPr>
              <w:t>Mosaicos de biodiversidad: el desafío de la simetría.</w:t>
            </w:r>
          </w:p>
        </w:tc>
        <w:tc>
          <w:tcPr>
            <w:tcW w:w="4047" w:type="dxa"/>
            <w:vAlign w:val="center"/>
          </w:tcPr>
          <w:p w14:paraId="30CCDB5F" w14:textId="0FC2906F" w:rsidR="00DC4969" w:rsidRPr="00DC4969" w:rsidRDefault="00DC4969" w:rsidP="00DC4969">
            <w:pPr>
              <w:rPr>
                <w:rFonts w:ascii="Century Gothic" w:hAnsi="Century Gothic"/>
              </w:rPr>
            </w:pPr>
            <w:r w:rsidRPr="00DC4969">
              <w:rPr>
                <w:rFonts w:ascii="Century Gothic" w:hAnsi="Century Gothic" w:cs="Tahoma"/>
                <w:kern w:val="0"/>
                <w:sz w:val="24"/>
                <w:szCs w:val="24"/>
              </w:rPr>
              <w:t>Conocer la biodiversidad que hay en su comunidad. También, observar, registrar, analizar y conocer la importancia tanto de la simetría axial como de la central en los seres vivos de su localidad. Con ayuda de un papalote volador representar su riqueza desde el punto de vista de las matemáticas, el arte y la creatividad.</w:t>
            </w:r>
          </w:p>
        </w:tc>
      </w:tr>
      <w:tr w:rsidR="00DC4969" w:rsidRPr="00DC4969" w14:paraId="11363062" w14:textId="77777777" w:rsidTr="0044019F">
        <w:tc>
          <w:tcPr>
            <w:tcW w:w="3036" w:type="dxa"/>
            <w:vAlign w:val="center"/>
          </w:tcPr>
          <w:p w14:paraId="6A945832" w14:textId="43C68DB7" w:rsidR="00DC4969" w:rsidRPr="00DC4969" w:rsidRDefault="00DC4969" w:rsidP="00DC4969">
            <w:pPr>
              <w:rPr>
                <w:rFonts w:ascii="Century Gothic" w:hAnsi="Century Gothic"/>
              </w:rPr>
            </w:pPr>
            <w:r w:rsidRPr="00DC4969">
              <w:rPr>
                <w:rFonts w:ascii="Century Gothic" w:hAnsi="Century Gothic"/>
                <w:kern w:val="0"/>
                <w14:ligatures w14:val="none"/>
              </w:rPr>
              <w:t>De lo humano y lo comunitario</w:t>
            </w:r>
          </w:p>
        </w:tc>
        <w:tc>
          <w:tcPr>
            <w:tcW w:w="2996" w:type="dxa"/>
            <w:vAlign w:val="center"/>
          </w:tcPr>
          <w:p w14:paraId="56182433" w14:textId="77777777" w:rsidR="00DC4969" w:rsidRPr="00DC4969" w:rsidRDefault="00DC4969" w:rsidP="00DC4969">
            <w:pPr>
              <w:rPr>
                <w:rFonts w:ascii="Century Gothic" w:hAnsi="Century Gothic"/>
              </w:rPr>
            </w:pPr>
            <w:r w:rsidRPr="00DC4969">
              <w:rPr>
                <w:rFonts w:ascii="Century Gothic" w:hAnsi="Century Gothic"/>
              </w:rPr>
              <w:t>Inclusión</w:t>
            </w:r>
          </w:p>
          <w:p w14:paraId="7CEF1505" w14:textId="77777777" w:rsidR="00DC4969" w:rsidRPr="00DC4969" w:rsidRDefault="00DC4969" w:rsidP="00DC4969">
            <w:pPr>
              <w:rPr>
                <w:rFonts w:ascii="Century Gothic" w:hAnsi="Century Gothic"/>
              </w:rPr>
            </w:pPr>
            <w:r w:rsidRPr="00DC4969">
              <w:rPr>
                <w:rFonts w:ascii="Century Gothic" w:hAnsi="Century Gothic"/>
              </w:rPr>
              <w:t>Pensamiento crítico</w:t>
            </w:r>
          </w:p>
          <w:p w14:paraId="39F0E27F" w14:textId="77777777" w:rsidR="00DC4969" w:rsidRPr="00DC4969" w:rsidRDefault="00DC4969" w:rsidP="00DC4969">
            <w:pPr>
              <w:rPr>
                <w:rFonts w:ascii="Century Gothic" w:hAnsi="Century Gothic"/>
              </w:rPr>
            </w:pPr>
            <w:r w:rsidRPr="00DC4969">
              <w:rPr>
                <w:rFonts w:ascii="Century Gothic" w:hAnsi="Century Gothic"/>
              </w:rPr>
              <w:t xml:space="preserve">Interculturalidad critica </w:t>
            </w:r>
          </w:p>
          <w:p w14:paraId="58086788" w14:textId="34FA4B3E" w:rsidR="00DC4969" w:rsidRPr="00DC4969" w:rsidRDefault="00DC4969" w:rsidP="00DC4969">
            <w:pPr>
              <w:rPr>
                <w:rFonts w:ascii="Century Gothic" w:hAnsi="Century Gothic"/>
              </w:rPr>
            </w:pPr>
          </w:p>
        </w:tc>
        <w:tc>
          <w:tcPr>
            <w:tcW w:w="1723" w:type="dxa"/>
            <w:vAlign w:val="center"/>
          </w:tcPr>
          <w:p w14:paraId="055B394E" w14:textId="77777777" w:rsidR="00DC4969" w:rsidRPr="00DC4969" w:rsidRDefault="00DC4969" w:rsidP="00DC4969">
            <w:pPr>
              <w:jc w:val="center"/>
              <w:rPr>
                <w:rFonts w:ascii="Century Gothic" w:hAnsi="Century Gothic" w:cs="Tahoma"/>
                <w:sz w:val="24"/>
                <w:szCs w:val="24"/>
              </w:rPr>
            </w:pPr>
            <w:r w:rsidRPr="00DC4969">
              <w:rPr>
                <w:rFonts w:ascii="Century Gothic" w:hAnsi="Century Gothic" w:cs="Tahoma"/>
                <w:sz w:val="24"/>
                <w:szCs w:val="24"/>
              </w:rPr>
              <w:t>Escolar.</w:t>
            </w:r>
          </w:p>
          <w:p w14:paraId="55789F6D" w14:textId="17B221A8" w:rsidR="00DC4969" w:rsidRPr="00DC4969" w:rsidRDefault="00DC4969" w:rsidP="00DC4969">
            <w:pPr>
              <w:rPr>
                <w:rFonts w:ascii="Century Gothic" w:hAnsi="Century Gothic"/>
              </w:rPr>
            </w:pPr>
            <w:r w:rsidRPr="00DC4969">
              <w:rPr>
                <w:rFonts w:ascii="Century Gothic" w:hAnsi="Century Gothic" w:cs="Tahoma"/>
                <w:sz w:val="24"/>
                <w:szCs w:val="24"/>
              </w:rPr>
              <w:t>Páginas de la 258 a la 271.</w:t>
            </w:r>
          </w:p>
        </w:tc>
        <w:tc>
          <w:tcPr>
            <w:tcW w:w="2588" w:type="dxa"/>
            <w:vAlign w:val="center"/>
          </w:tcPr>
          <w:p w14:paraId="0F88FC55" w14:textId="52E7F408" w:rsidR="00DC4969" w:rsidRPr="00DC4969" w:rsidRDefault="00DC4969" w:rsidP="00DC4969">
            <w:pPr>
              <w:rPr>
                <w:rFonts w:ascii="Century Gothic" w:hAnsi="Century Gothic"/>
              </w:rPr>
            </w:pPr>
            <w:r w:rsidRPr="00DC4969">
              <w:rPr>
                <w:rFonts w:ascii="Century Gothic" w:hAnsi="Century Gothic" w:cs="Tahoma"/>
                <w:kern w:val="0"/>
                <w:sz w:val="24"/>
                <w:szCs w:val="24"/>
              </w:rPr>
              <w:t>Reporteras y reporteros en acción. ¿Nos reconocemos?</w:t>
            </w:r>
          </w:p>
        </w:tc>
        <w:tc>
          <w:tcPr>
            <w:tcW w:w="4047" w:type="dxa"/>
          </w:tcPr>
          <w:p w14:paraId="1544F34B" w14:textId="362BAF77" w:rsidR="00DC4969" w:rsidRPr="00DC4969" w:rsidRDefault="00DC4969" w:rsidP="00DC4969">
            <w:pPr>
              <w:rPr>
                <w:rFonts w:ascii="Century Gothic" w:hAnsi="Century Gothic"/>
              </w:rPr>
            </w:pPr>
            <w:r w:rsidRPr="00DC4969">
              <w:rPr>
                <w:rFonts w:ascii="Century Gothic" w:hAnsi="Century Gothic" w:cs="Tahoma"/>
                <w:kern w:val="0"/>
                <w:sz w:val="24"/>
                <w:szCs w:val="24"/>
              </w:rPr>
              <w:t>Ser reportera o reportero de una revista escolar donde se publiquen situaciones de su vida y del contexto de la comunidad escolar. Además, tener oportunidades interesantes para propiciar empatía y solidaridad y lograr una mejor convivencia, lo que les permita reconocer sus diferencias y similitudes con las demás personas.</w:t>
            </w:r>
          </w:p>
        </w:tc>
      </w:tr>
      <w:tr w:rsidR="00DC4969" w:rsidRPr="00DC4969" w14:paraId="28903A2D" w14:textId="77777777" w:rsidTr="0044019F">
        <w:tc>
          <w:tcPr>
            <w:tcW w:w="3036" w:type="dxa"/>
            <w:vAlign w:val="center"/>
          </w:tcPr>
          <w:p w14:paraId="66EAD28D" w14:textId="740C74B3" w:rsidR="00DC4969" w:rsidRPr="00DC4969" w:rsidRDefault="00DC4969" w:rsidP="00DC4969">
            <w:pPr>
              <w:rPr>
                <w:rFonts w:ascii="Century Gothic" w:hAnsi="Century Gothic"/>
              </w:rPr>
            </w:pPr>
            <w:r w:rsidRPr="00DC4969">
              <w:rPr>
                <w:rFonts w:ascii="Century Gothic" w:hAnsi="Century Gothic"/>
                <w:kern w:val="0"/>
                <w14:ligatures w14:val="none"/>
              </w:rPr>
              <w:t>Lenguajes</w:t>
            </w:r>
          </w:p>
        </w:tc>
        <w:tc>
          <w:tcPr>
            <w:tcW w:w="2996" w:type="dxa"/>
            <w:vAlign w:val="center"/>
          </w:tcPr>
          <w:p w14:paraId="0C05C08A" w14:textId="77777777" w:rsidR="00DC4969" w:rsidRPr="00DC4969" w:rsidRDefault="00DC4969" w:rsidP="00DC4969">
            <w:pPr>
              <w:rPr>
                <w:rFonts w:ascii="Century Gothic" w:hAnsi="Century Gothic"/>
              </w:rPr>
            </w:pPr>
            <w:r w:rsidRPr="00DC4969">
              <w:rPr>
                <w:rFonts w:ascii="Century Gothic" w:hAnsi="Century Gothic"/>
              </w:rPr>
              <w:t>Pensamiento crítico</w:t>
            </w:r>
          </w:p>
          <w:p w14:paraId="28158D90" w14:textId="77777777" w:rsidR="00DC4969" w:rsidRPr="00DC4969" w:rsidRDefault="00DC4969" w:rsidP="00DC4969">
            <w:pPr>
              <w:rPr>
                <w:rFonts w:ascii="Century Gothic" w:hAnsi="Century Gothic"/>
              </w:rPr>
            </w:pPr>
            <w:r w:rsidRPr="00DC4969">
              <w:rPr>
                <w:rFonts w:ascii="Century Gothic" w:hAnsi="Century Gothic"/>
              </w:rPr>
              <w:t xml:space="preserve">Apropiación de las culturas a través de la lectura y la escritura </w:t>
            </w:r>
          </w:p>
          <w:p w14:paraId="599C58D7" w14:textId="4386A27A" w:rsidR="00DC4969" w:rsidRPr="00DC4969" w:rsidRDefault="00DC4969" w:rsidP="00DC4969">
            <w:pPr>
              <w:rPr>
                <w:rFonts w:ascii="Century Gothic" w:hAnsi="Century Gothic"/>
              </w:rPr>
            </w:pPr>
          </w:p>
        </w:tc>
        <w:tc>
          <w:tcPr>
            <w:tcW w:w="1723" w:type="dxa"/>
            <w:vAlign w:val="center"/>
          </w:tcPr>
          <w:p w14:paraId="27C1E5FA" w14:textId="77777777" w:rsidR="00DC4969" w:rsidRPr="00DC4969" w:rsidRDefault="00DC4969" w:rsidP="00DC4969">
            <w:pPr>
              <w:jc w:val="center"/>
              <w:rPr>
                <w:rFonts w:ascii="Century Gothic" w:hAnsi="Century Gothic" w:cs="Tahoma"/>
                <w:sz w:val="24"/>
                <w:szCs w:val="24"/>
              </w:rPr>
            </w:pPr>
            <w:r w:rsidRPr="00DC4969">
              <w:rPr>
                <w:rFonts w:ascii="Century Gothic" w:hAnsi="Century Gothic" w:cs="Tahoma"/>
                <w:sz w:val="24"/>
                <w:szCs w:val="24"/>
              </w:rPr>
              <w:t>Comunitario.</w:t>
            </w:r>
          </w:p>
          <w:p w14:paraId="5E092657" w14:textId="54A06749" w:rsidR="00DC4969" w:rsidRPr="00DC4969" w:rsidRDefault="00DC4969" w:rsidP="00DC4969">
            <w:pPr>
              <w:rPr>
                <w:rFonts w:ascii="Century Gothic" w:hAnsi="Century Gothic"/>
              </w:rPr>
            </w:pPr>
            <w:r w:rsidRPr="00DC4969">
              <w:rPr>
                <w:rFonts w:ascii="Century Gothic" w:hAnsi="Century Gothic" w:cs="Tahoma"/>
                <w:sz w:val="24"/>
                <w:szCs w:val="24"/>
              </w:rPr>
              <w:t>Páginas de la 50 a la 61.</w:t>
            </w:r>
          </w:p>
        </w:tc>
        <w:tc>
          <w:tcPr>
            <w:tcW w:w="2588" w:type="dxa"/>
            <w:vAlign w:val="center"/>
          </w:tcPr>
          <w:p w14:paraId="2010C993" w14:textId="56C58D52" w:rsidR="00DC4969" w:rsidRPr="00DC4969" w:rsidRDefault="00DC4969" w:rsidP="00DC4969">
            <w:pPr>
              <w:rPr>
                <w:rFonts w:ascii="Century Gothic" w:hAnsi="Century Gothic"/>
              </w:rPr>
            </w:pPr>
            <w:r w:rsidRPr="00DC4969">
              <w:rPr>
                <w:rFonts w:ascii="Century Gothic" w:hAnsi="Century Gothic" w:cs="Tahoma"/>
                <w:kern w:val="0"/>
                <w:sz w:val="24"/>
                <w:szCs w:val="24"/>
              </w:rPr>
              <w:t>Cuidándome del impostor.</w:t>
            </w:r>
          </w:p>
        </w:tc>
        <w:tc>
          <w:tcPr>
            <w:tcW w:w="4047" w:type="dxa"/>
            <w:vAlign w:val="center"/>
          </w:tcPr>
          <w:p w14:paraId="3F11CA71" w14:textId="44F74A76" w:rsidR="00DC4969" w:rsidRPr="00DC4969" w:rsidRDefault="00DC4969" w:rsidP="00DC4969">
            <w:pPr>
              <w:rPr>
                <w:rFonts w:ascii="Century Gothic" w:hAnsi="Century Gothic"/>
              </w:rPr>
            </w:pPr>
            <w:r w:rsidRPr="00DC4969">
              <w:rPr>
                <w:rFonts w:ascii="Century Gothic" w:hAnsi="Century Gothic" w:cs="Tahoma"/>
                <w:kern w:val="0"/>
                <w:sz w:val="24"/>
                <w:szCs w:val="24"/>
              </w:rPr>
              <w:t>Identificar criterios al seleccionar sitios de información confiable en internet y darlos a conocer a través de una infografía.</w:t>
            </w:r>
          </w:p>
        </w:tc>
      </w:tr>
    </w:tbl>
    <w:p w14:paraId="099E919D" w14:textId="77777777" w:rsidR="002F59BC" w:rsidRDefault="002F59BC"/>
    <w:sectPr w:rsidR="002F59BC" w:rsidSect="00946CAA">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9D89" w14:textId="77777777" w:rsidR="00946CAA" w:rsidRDefault="00946CAA" w:rsidP="00C825A1">
      <w:pPr>
        <w:spacing w:after="0" w:line="240" w:lineRule="auto"/>
      </w:pPr>
      <w:r>
        <w:separator/>
      </w:r>
    </w:p>
  </w:endnote>
  <w:endnote w:type="continuationSeparator" w:id="0">
    <w:p w14:paraId="6A91D66D" w14:textId="77777777" w:rsidR="00946CAA" w:rsidRDefault="00946CAA"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8F62" w14:textId="77777777" w:rsidR="00946CAA" w:rsidRDefault="00946CAA" w:rsidP="00C825A1">
      <w:pPr>
        <w:spacing w:after="0" w:line="240" w:lineRule="auto"/>
      </w:pPr>
      <w:r>
        <w:separator/>
      </w:r>
    </w:p>
  </w:footnote>
  <w:footnote w:type="continuationSeparator" w:id="0">
    <w:p w14:paraId="6AFF0285" w14:textId="77777777" w:rsidR="00946CAA" w:rsidRDefault="00946CAA"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4104AA"/>
    <w:rsid w:val="0044019F"/>
    <w:rsid w:val="00946CAA"/>
    <w:rsid w:val="009A5BC5"/>
    <w:rsid w:val="00AD1658"/>
    <w:rsid w:val="00B474F4"/>
    <w:rsid w:val="00B51E4C"/>
    <w:rsid w:val="00C65812"/>
    <w:rsid w:val="00C825A1"/>
    <w:rsid w:val="00C82D7E"/>
    <w:rsid w:val="00D07F9C"/>
    <w:rsid w:val="00DC4969"/>
    <w:rsid w:val="00F45550"/>
    <w:rsid w:val="00FD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279068266">
      <w:bodyDiv w:val="1"/>
      <w:marLeft w:val="0"/>
      <w:marRight w:val="0"/>
      <w:marTop w:val="0"/>
      <w:marBottom w:val="0"/>
      <w:divBdr>
        <w:top w:val="none" w:sz="0" w:space="0" w:color="auto"/>
        <w:left w:val="none" w:sz="0" w:space="0" w:color="auto"/>
        <w:bottom w:val="none" w:sz="0" w:space="0" w:color="auto"/>
        <w:right w:val="none" w:sz="0" w:space="0" w:color="auto"/>
      </w:divBdr>
    </w:div>
    <w:div w:id="376047105">
      <w:bodyDiv w:val="1"/>
      <w:marLeft w:val="0"/>
      <w:marRight w:val="0"/>
      <w:marTop w:val="0"/>
      <w:marBottom w:val="0"/>
      <w:divBdr>
        <w:top w:val="none" w:sz="0" w:space="0" w:color="auto"/>
        <w:left w:val="none" w:sz="0" w:space="0" w:color="auto"/>
        <w:bottom w:val="none" w:sz="0" w:space="0" w:color="auto"/>
        <w:right w:val="none" w:sz="0" w:space="0" w:color="auto"/>
      </w:divBdr>
    </w:div>
    <w:div w:id="383526918">
      <w:bodyDiv w:val="1"/>
      <w:marLeft w:val="0"/>
      <w:marRight w:val="0"/>
      <w:marTop w:val="0"/>
      <w:marBottom w:val="0"/>
      <w:divBdr>
        <w:top w:val="none" w:sz="0" w:space="0" w:color="auto"/>
        <w:left w:val="none" w:sz="0" w:space="0" w:color="auto"/>
        <w:bottom w:val="none" w:sz="0" w:space="0" w:color="auto"/>
        <w:right w:val="none" w:sz="0" w:space="0" w:color="auto"/>
      </w:divBdr>
    </w:div>
    <w:div w:id="650016048">
      <w:bodyDiv w:val="1"/>
      <w:marLeft w:val="0"/>
      <w:marRight w:val="0"/>
      <w:marTop w:val="0"/>
      <w:marBottom w:val="0"/>
      <w:divBdr>
        <w:top w:val="none" w:sz="0" w:space="0" w:color="auto"/>
        <w:left w:val="none" w:sz="0" w:space="0" w:color="auto"/>
        <w:bottom w:val="none" w:sz="0" w:space="0" w:color="auto"/>
        <w:right w:val="none" w:sz="0" w:space="0" w:color="auto"/>
      </w:divBdr>
    </w:div>
    <w:div w:id="908149883">
      <w:bodyDiv w:val="1"/>
      <w:marLeft w:val="0"/>
      <w:marRight w:val="0"/>
      <w:marTop w:val="0"/>
      <w:marBottom w:val="0"/>
      <w:divBdr>
        <w:top w:val="none" w:sz="0" w:space="0" w:color="auto"/>
        <w:left w:val="none" w:sz="0" w:space="0" w:color="auto"/>
        <w:bottom w:val="none" w:sz="0" w:space="0" w:color="auto"/>
        <w:right w:val="none" w:sz="0" w:space="0" w:color="auto"/>
      </w:divBdr>
    </w:div>
    <w:div w:id="1015885061">
      <w:bodyDiv w:val="1"/>
      <w:marLeft w:val="0"/>
      <w:marRight w:val="0"/>
      <w:marTop w:val="0"/>
      <w:marBottom w:val="0"/>
      <w:divBdr>
        <w:top w:val="none" w:sz="0" w:space="0" w:color="auto"/>
        <w:left w:val="none" w:sz="0" w:space="0" w:color="auto"/>
        <w:bottom w:val="none" w:sz="0" w:space="0" w:color="auto"/>
        <w:right w:val="none" w:sz="0" w:space="0" w:color="auto"/>
      </w:divBdr>
    </w:div>
    <w:div w:id="1232279160">
      <w:bodyDiv w:val="1"/>
      <w:marLeft w:val="0"/>
      <w:marRight w:val="0"/>
      <w:marTop w:val="0"/>
      <w:marBottom w:val="0"/>
      <w:divBdr>
        <w:top w:val="none" w:sz="0" w:space="0" w:color="auto"/>
        <w:left w:val="none" w:sz="0" w:space="0" w:color="auto"/>
        <w:bottom w:val="none" w:sz="0" w:space="0" w:color="auto"/>
        <w:right w:val="none" w:sz="0" w:space="0" w:color="auto"/>
      </w:divBdr>
    </w:div>
    <w:div w:id="1301618553">
      <w:bodyDiv w:val="1"/>
      <w:marLeft w:val="0"/>
      <w:marRight w:val="0"/>
      <w:marTop w:val="0"/>
      <w:marBottom w:val="0"/>
      <w:divBdr>
        <w:top w:val="none" w:sz="0" w:space="0" w:color="auto"/>
        <w:left w:val="none" w:sz="0" w:space="0" w:color="auto"/>
        <w:bottom w:val="none" w:sz="0" w:space="0" w:color="auto"/>
        <w:right w:val="none" w:sz="0" w:space="0" w:color="auto"/>
      </w:divBdr>
    </w:div>
    <w:div w:id="1894654617">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cp:lastModifiedBy>G3317</cp:lastModifiedBy>
  <cp:revision>3</cp:revision>
  <dcterms:created xsi:type="dcterms:W3CDTF">2023-08-21T19:57:00Z</dcterms:created>
  <dcterms:modified xsi:type="dcterms:W3CDTF">2024-04-07T02:48:00Z</dcterms:modified>
  <cp:category>www.DidacticosMx.com</cp:category>
</cp:coreProperties>
</file>