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2834F" w14:textId="7F72F81C" w:rsidR="00E70855" w:rsidRDefault="00E70855" w:rsidP="00E70855">
      <w:pPr>
        <w:jc w:val="center"/>
        <w:rPr>
          <w:rFonts w:ascii="Century Gothic" w:hAnsi="Century Gothic"/>
          <w:b/>
          <w:bCs/>
          <w:color w:val="0D0D0D" w:themeColor="text1" w:themeTint="F2"/>
          <w:sz w:val="44"/>
          <w:szCs w:val="44"/>
        </w:rPr>
      </w:pPr>
      <w:r>
        <w:rPr>
          <w:rFonts w:ascii="Century Gothic" w:hAnsi="Century Gothic"/>
          <w:b/>
          <w:bCs/>
          <w:color w:val="0D0D0D" w:themeColor="text1" w:themeTint="F2"/>
          <w:sz w:val="44"/>
          <w:szCs w:val="44"/>
        </w:rPr>
        <w:t xml:space="preserve">PROYECTOS DEL PERIODO </w:t>
      </w:r>
      <w:r>
        <w:rPr>
          <w:rFonts w:ascii="Century Gothic" w:hAnsi="Century Gothic"/>
          <w:b/>
          <w:bCs/>
          <w:color w:val="0D0D0D" w:themeColor="text1" w:themeTint="F2"/>
          <w:sz w:val="44"/>
          <w:szCs w:val="44"/>
        </w:rPr>
        <w:t>6</w:t>
      </w:r>
      <w:r>
        <w:rPr>
          <w:rFonts w:ascii="Century Gothic" w:hAnsi="Century Gothic"/>
          <w:b/>
          <w:bCs/>
          <w:color w:val="0D0D0D" w:themeColor="text1" w:themeTint="F2"/>
          <w:sz w:val="44"/>
          <w:szCs w:val="44"/>
        </w:rPr>
        <w:t>:</w:t>
      </w:r>
    </w:p>
    <w:p w14:paraId="0CF451F5" w14:textId="6C908609" w:rsidR="00E70855" w:rsidRDefault="00E70855" w:rsidP="00E70855">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En este documento se encuentra la dosificación del Periodo de </w:t>
      </w:r>
      <w:r>
        <w:rPr>
          <w:rFonts w:ascii="Century Gothic" w:hAnsi="Century Gothic"/>
          <w:b/>
          <w:bCs/>
          <w:color w:val="0D0D0D" w:themeColor="text1" w:themeTint="F2"/>
          <w:sz w:val="36"/>
          <w:szCs w:val="36"/>
        </w:rPr>
        <w:t xml:space="preserve">PERIODO </w:t>
      </w:r>
      <w:r>
        <w:rPr>
          <w:rFonts w:ascii="Century Gothic" w:hAnsi="Century Gothic"/>
          <w:b/>
          <w:bCs/>
          <w:color w:val="0D0D0D" w:themeColor="text1" w:themeTint="F2"/>
          <w:sz w:val="36"/>
          <w:szCs w:val="36"/>
        </w:rPr>
        <w:t>6</w:t>
      </w:r>
      <w:r>
        <w:rPr>
          <w:rFonts w:ascii="Century Gothic" w:hAnsi="Century Gothic"/>
          <w:color w:val="0D0D0D" w:themeColor="text1" w:themeTint="F2"/>
          <w:sz w:val="36"/>
          <w:szCs w:val="36"/>
        </w:rPr>
        <w:t xml:space="preserve">. Aquí puede consultar los contenidos, campos y ejes de cada uno de los proyectos. Es muy importante que sepa que: </w:t>
      </w:r>
      <w:r>
        <w:rPr>
          <w:rFonts w:ascii="Century Gothic" w:hAnsi="Century Gothic"/>
          <w:color w:val="0D0D0D" w:themeColor="text1" w:themeTint="F2"/>
          <w:sz w:val="36"/>
          <w:szCs w:val="36"/>
          <w:u w:val="single"/>
        </w:rPr>
        <w:t>ESTOS PROYECTOS SE PUEDEN APLICAR EN CUALQUIER MOMENTO DEL AÑO</w:t>
      </w:r>
      <w:r>
        <w:rPr>
          <w:rFonts w:ascii="Century Gothic" w:hAnsi="Century Gothic"/>
          <w:color w:val="0D0D0D" w:themeColor="text1" w:themeTint="F2"/>
          <w:sz w:val="36"/>
          <w:szCs w:val="36"/>
        </w:rPr>
        <w:t>.</w:t>
      </w:r>
    </w:p>
    <w:p w14:paraId="13F8D8D5" w14:textId="77777777" w:rsidR="00E70855" w:rsidRDefault="00E70855" w:rsidP="00E70855">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Con esta información, comprenderás mejor los objetivos de cada proyecto y cómo se integran diferentes áreas del conocimiento.</w:t>
      </w:r>
    </w:p>
    <w:p w14:paraId="4CA31907" w14:textId="77777777" w:rsidR="00E70855" w:rsidRDefault="00E70855" w:rsidP="00E70855">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Nuestros proyectos son únicos, ya que combinan contenidos y habilidades de dos o más campos de formación en una misma propuesta. De esta forma, la planeación se ajusta a los planes y programas de estudio de la Nueva Escuela Mexicana.</w:t>
      </w:r>
    </w:p>
    <w:p w14:paraId="2803FD7B" w14:textId="60C47A31" w:rsidR="00E70855" w:rsidRDefault="00E70855" w:rsidP="00E70855">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El paquete del </w:t>
      </w:r>
      <w:r>
        <w:rPr>
          <w:rFonts w:ascii="Century Gothic" w:hAnsi="Century Gothic"/>
          <w:b/>
          <w:bCs/>
          <w:color w:val="0D0D0D" w:themeColor="text1" w:themeTint="F2"/>
          <w:sz w:val="36"/>
          <w:szCs w:val="36"/>
        </w:rPr>
        <w:t xml:space="preserve">PERIODO </w:t>
      </w:r>
      <w:r>
        <w:rPr>
          <w:rFonts w:ascii="Century Gothic" w:hAnsi="Century Gothic"/>
          <w:b/>
          <w:bCs/>
          <w:color w:val="0D0D0D" w:themeColor="text1" w:themeTint="F2"/>
          <w:sz w:val="36"/>
          <w:szCs w:val="36"/>
        </w:rPr>
        <w:t>6</w:t>
      </w:r>
      <w:r>
        <w:rPr>
          <w:rFonts w:ascii="Century Gothic" w:hAnsi="Century Gothic"/>
          <w:color w:val="0D0D0D" w:themeColor="text1" w:themeTint="F2"/>
          <w:sz w:val="36"/>
          <w:szCs w:val="36"/>
        </w:rPr>
        <w:t xml:space="preserve"> incluye 3 proyectos didácticos.</w:t>
      </w:r>
    </w:p>
    <w:p w14:paraId="359F788B" w14:textId="77777777" w:rsidR="00E70855" w:rsidRDefault="00E70855">
      <w:pPr>
        <w:rPr>
          <w:rFonts w:ascii="Century Gothic" w:hAnsi="Century Gothic"/>
          <w:b/>
          <w:bCs/>
          <w:sz w:val="32"/>
          <w:szCs w:val="32"/>
        </w:rPr>
      </w:pPr>
      <w:r>
        <w:rPr>
          <w:rFonts w:ascii="Century Gothic" w:hAnsi="Century Gothic"/>
          <w:b/>
          <w:bCs/>
          <w:sz w:val="32"/>
          <w:szCs w:val="32"/>
        </w:rPr>
        <w:br w:type="page"/>
      </w:r>
    </w:p>
    <w:p w14:paraId="19ADF972" w14:textId="2460EE37" w:rsidR="00AD1658" w:rsidRDefault="00C825A1" w:rsidP="00C825A1">
      <w:pPr>
        <w:spacing w:after="0"/>
        <w:jc w:val="center"/>
        <w:rPr>
          <w:rFonts w:ascii="Century Gothic" w:hAnsi="Century Gothic"/>
          <w:b/>
          <w:bCs/>
          <w:sz w:val="32"/>
          <w:szCs w:val="32"/>
        </w:rPr>
      </w:pPr>
      <w:r>
        <w:rPr>
          <w:rFonts w:ascii="Century Gothic" w:hAnsi="Century Gothic"/>
          <w:b/>
          <w:bCs/>
          <w:sz w:val="32"/>
          <w:szCs w:val="32"/>
        </w:rPr>
        <w:lastRenderedPageBreak/>
        <w:t>6to Grado</w:t>
      </w:r>
    </w:p>
    <w:p w14:paraId="77989C0C" w14:textId="1D2CB95C" w:rsidR="002E23F0" w:rsidRPr="00C825A1" w:rsidRDefault="002E23F0" w:rsidP="00C825A1">
      <w:pPr>
        <w:spacing w:after="0"/>
        <w:jc w:val="center"/>
        <w:rPr>
          <w:rFonts w:ascii="Century Gothic" w:hAnsi="Century Gothic"/>
          <w:b/>
          <w:bCs/>
          <w:sz w:val="32"/>
          <w:szCs w:val="32"/>
        </w:rPr>
      </w:pPr>
      <w:r>
        <w:rPr>
          <w:rFonts w:ascii="Century Gothic" w:hAnsi="Century Gothic"/>
          <w:b/>
          <w:bCs/>
          <w:sz w:val="32"/>
          <w:szCs w:val="32"/>
        </w:rPr>
        <w:t>FECHA</w:t>
      </w:r>
    </w:p>
    <w:tbl>
      <w:tblPr>
        <w:tblStyle w:val="Tablaconcuadrcul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263"/>
        <w:gridCol w:w="2268"/>
        <w:gridCol w:w="1985"/>
        <w:gridCol w:w="2384"/>
        <w:gridCol w:w="5490"/>
      </w:tblGrid>
      <w:tr w:rsidR="00AD1658" w:rsidRPr="00BC06AB" w14:paraId="51312299" w14:textId="77777777" w:rsidTr="00C65812">
        <w:tc>
          <w:tcPr>
            <w:tcW w:w="14390" w:type="dxa"/>
            <w:gridSpan w:val="5"/>
            <w:shd w:val="clear" w:color="auto" w:fill="FF8F8F"/>
            <w:vAlign w:val="center"/>
          </w:tcPr>
          <w:p w14:paraId="7345A0A7" w14:textId="59359916" w:rsidR="00AD1658" w:rsidRPr="00BC06AB" w:rsidRDefault="002E23F0" w:rsidP="00AD1658">
            <w:pPr>
              <w:jc w:val="center"/>
              <w:rPr>
                <w:rFonts w:ascii="Century Gothic" w:hAnsi="Century Gothic"/>
                <w:b/>
                <w:bCs/>
                <w:sz w:val="26"/>
                <w:szCs w:val="26"/>
              </w:rPr>
            </w:pPr>
            <w:r w:rsidRPr="00BC06AB">
              <w:rPr>
                <w:rFonts w:ascii="Century Gothic" w:hAnsi="Century Gothic"/>
                <w:b/>
                <w:bCs/>
                <w:sz w:val="26"/>
                <w:szCs w:val="26"/>
              </w:rPr>
              <w:t>DOSIFICACIÓN</w:t>
            </w:r>
          </w:p>
        </w:tc>
      </w:tr>
      <w:tr w:rsidR="00AD1658" w:rsidRPr="00BC06AB" w14:paraId="0ED89697" w14:textId="77777777" w:rsidTr="00BC06AB">
        <w:tc>
          <w:tcPr>
            <w:tcW w:w="2263" w:type="dxa"/>
            <w:shd w:val="clear" w:color="auto" w:fill="FFD1D1"/>
            <w:vAlign w:val="center"/>
          </w:tcPr>
          <w:p w14:paraId="2010CF81" w14:textId="0E05CB10" w:rsidR="00AD1658" w:rsidRPr="00BC06AB" w:rsidRDefault="00AD1658" w:rsidP="00AD1658">
            <w:pPr>
              <w:jc w:val="center"/>
              <w:rPr>
                <w:rFonts w:ascii="Century Gothic" w:hAnsi="Century Gothic"/>
                <w:b/>
                <w:bCs/>
                <w:sz w:val="26"/>
                <w:szCs w:val="26"/>
              </w:rPr>
            </w:pPr>
            <w:r w:rsidRPr="00BC06AB">
              <w:rPr>
                <w:rFonts w:ascii="Century Gothic" w:hAnsi="Century Gothic"/>
                <w:b/>
                <w:bCs/>
                <w:sz w:val="26"/>
                <w:szCs w:val="26"/>
              </w:rPr>
              <w:t>Campo Formativo</w:t>
            </w:r>
          </w:p>
        </w:tc>
        <w:tc>
          <w:tcPr>
            <w:tcW w:w="2268" w:type="dxa"/>
            <w:shd w:val="clear" w:color="auto" w:fill="FFD1D1"/>
            <w:vAlign w:val="center"/>
          </w:tcPr>
          <w:p w14:paraId="3FF55929" w14:textId="2775533F" w:rsidR="00AD1658" w:rsidRPr="00BC06AB" w:rsidRDefault="00AD1658" w:rsidP="00AD1658">
            <w:pPr>
              <w:jc w:val="center"/>
              <w:rPr>
                <w:rFonts w:ascii="Century Gothic" w:hAnsi="Century Gothic"/>
                <w:b/>
                <w:bCs/>
                <w:sz w:val="26"/>
                <w:szCs w:val="26"/>
              </w:rPr>
            </w:pPr>
            <w:r w:rsidRPr="00BC06AB">
              <w:rPr>
                <w:rFonts w:ascii="Century Gothic" w:hAnsi="Century Gothic"/>
                <w:b/>
                <w:bCs/>
                <w:sz w:val="26"/>
                <w:szCs w:val="26"/>
              </w:rPr>
              <w:t>Ejes articuladores</w:t>
            </w:r>
          </w:p>
        </w:tc>
        <w:tc>
          <w:tcPr>
            <w:tcW w:w="1985" w:type="dxa"/>
            <w:shd w:val="clear" w:color="auto" w:fill="FFD1D1"/>
            <w:vAlign w:val="center"/>
          </w:tcPr>
          <w:p w14:paraId="426A56CE" w14:textId="6F50816E" w:rsidR="00AD1658" w:rsidRPr="00BC06AB" w:rsidRDefault="00AD1658" w:rsidP="00AD1658">
            <w:pPr>
              <w:jc w:val="center"/>
              <w:rPr>
                <w:rFonts w:ascii="Century Gothic" w:hAnsi="Century Gothic"/>
                <w:b/>
                <w:bCs/>
                <w:sz w:val="26"/>
                <w:szCs w:val="26"/>
              </w:rPr>
            </w:pPr>
            <w:r w:rsidRPr="00BC06AB">
              <w:rPr>
                <w:rFonts w:ascii="Century Gothic" w:hAnsi="Century Gothic"/>
                <w:b/>
                <w:bCs/>
                <w:sz w:val="26"/>
                <w:szCs w:val="26"/>
              </w:rPr>
              <w:t>Escenario</w:t>
            </w:r>
          </w:p>
        </w:tc>
        <w:tc>
          <w:tcPr>
            <w:tcW w:w="2384" w:type="dxa"/>
            <w:shd w:val="clear" w:color="auto" w:fill="FFD1D1"/>
            <w:vAlign w:val="center"/>
          </w:tcPr>
          <w:p w14:paraId="0490FFAC" w14:textId="4AF7C1E6" w:rsidR="00AD1658" w:rsidRPr="00BC06AB" w:rsidRDefault="00AD1658" w:rsidP="00AD1658">
            <w:pPr>
              <w:jc w:val="center"/>
              <w:rPr>
                <w:rFonts w:ascii="Century Gothic" w:hAnsi="Century Gothic"/>
                <w:b/>
                <w:bCs/>
                <w:sz w:val="26"/>
                <w:szCs w:val="26"/>
              </w:rPr>
            </w:pPr>
            <w:r w:rsidRPr="00BC06AB">
              <w:rPr>
                <w:rFonts w:ascii="Century Gothic" w:hAnsi="Century Gothic"/>
                <w:b/>
                <w:bCs/>
                <w:sz w:val="26"/>
                <w:szCs w:val="26"/>
              </w:rPr>
              <w:t>Nombre del proyecto</w:t>
            </w:r>
          </w:p>
        </w:tc>
        <w:tc>
          <w:tcPr>
            <w:tcW w:w="5490" w:type="dxa"/>
            <w:shd w:val="clear" w:color="auto" w:fill="FFD1D1"/>
            <w:vAlign w:val="center"/>
          </w:tcPr>
          <w:p w14:paraId="49AD0D00" w14:textId="0DD44579" w:rsidR="00AD1658" w:rsidRPr="00BC06AB" w:rsidRDefault="00AD1658" w:rsidP="00AD1658">
            <w:pPr>
              <w:jc w:val="center"/>
              <w:rPr>
                <w:rFonts w:ascii="Century Gothic" w:hAnsi="Century Gothic"/>
                <w:b/>
                <w:bCs/>
                <w:sz w:val="26"/>
                <w:szCs w:val="26"/>
              </w:rPr>
            </w:pPr>
            <w:r w:rsidRPr="00BC06AB">
              <w:rPr>
                <w:rFonts w:ascii="Century Gothic" w:hAnsi="Century Gothic"/>
                <w:b/>
                <w:bCs/>
                <w:sz w:val="26"/>
                <w:szCs w:val="26"/>
              </w:rPr>
              <w:t>Propósito</w:t>
            </w:r>
          </w:p>
        </w:tc>
      </w:tr>
      <w:tr w:rsidR="00BC06AB" w:rsidRPr="00BC06AB" w14:paraId="3E0896F7" w14:textId="77777777" w:rsidTr="00BC06AB">
        <w:tc>
          <w:tcPr>
            <w:tcW w:w="2263" w:type="dxa"/>
            <w:vAlign w:val="center"/>
          </w:tcPr>
          <w:p w14:paraId="2615CD50" w14:textId="544EAC7D" w:rsidR="00BC06AB" w:rsidRPr="00BC06AB" w:rsidRDefault="00BC06AB" w:rsidP="00BC06AB">
            <w:pPr>
              <w:rPr>
                <w:rFonts w:ascii="Century Gothic" w:hAnsi="Century Gothic"/>
              </w:rPr>
            </w:pPr>
            <w:r w:rsidRPr="00BC06AB">
              <w:rPr>
                <w:rFonts w:ascii="Century Gothic" w:hAnsi="Century Gothic"/>
                <w:kern w:val="0"/>
                <w14:ligatures w14:val="none"/>
              </w:rPr>
              <w:t>Ética, naturaleza y sociedades</w:t>
            </w:r>
          </w:p>
        </w:tc>
        <w:tc>
          <w:tcPr>
            <w:tcW w:w="2268" w:type="dxa"/>
            <w:vAlign w:val="center"/>
          </w:tcPr>
          <w:p w14:paraId="5ACE0921" w14:textId="77777777" w:rsidR="00BC06AB" w:rsidRPr="00BC06AB" w:rsidRDefault="00BC06AB" w:rsidP="00BC06AB">
            <w:pPr>
              <w:rPr>
                <w:rFonts w:ascii="Century Gothic" w:hAnsi="Century Gothic"/>
              </w:rPr>
            </w:pPr>
            <w:r w:rsidRPr="00BC06AB">
              <w:rPr>
                <w:rFonts w:ascii="Century Gothic" w:hAnsi="Century Gothic"/>
              </w:rPr>
              <w:t>Pensamiento crítico</w:t>
            </w:r>
          </w:p>
          <w:p w14:paraId="2D724138" w14:textId="5543CE9E" w:rsidR="00BC06AB" w:rsidRPr="00BC06AB" w:rsidRDefault="00BC06AB" w:rsidP="00BC06AB">
            <w:pPr>
              <w:rPr>
                <w:rFonts w:ascii="Century Gothic" w:hAnsi="Century Gothic"/>
              </w:rPr>
            </w:pPr>
          </w:p>
        </w:tc>
        <w:tc>
          <w:tcPr>
            <w:tcW w:w="1985" w:type="dxa"/>
            <w:vAlign w:val="center"/>
          </w:tcPr>
          <w:p w14:paraId="2FDB1518" w14:textId="77777777" w:rsidR="00BC06AB" w:rsidRPr="00BC06AB" w:rsidRDefault="00BC06AB" w:rsidP="00BC06AB">
            <w:pPr>
              <w:jc w:val="center"/>
              <w:rPr>
                <w:rFonts w:ascii="Century Gothic" w:hAnsi="Century Gothic" w:cs="Tahoma"/>
                <w:sz w:val="24"/>
                <w:szCs w:val="24"/>
              </w:rPr>
            </w:pPr>
            <w:r w:rsidRPr="00BC06AB">
              <w:rPr>
                <w:rFonts w:ascii="Century Gothic" w:hAnsi="Century Gothic" w:cs="Tahoma"/>
                <w:sz w:val="24"/>
                <w:szCs w:val="24"/>
              </w:rPr>
              <w:t>Aula.</w:t>
            </w:r>
          </w:p>
          <w:p w14:paraId="133CBBF1" w14:textId="02C4F8F6" w:rsidR="00BC06AB" w:rsidRPr="00BC06AB" w:rsidRDefault="00BC06AB" w:rsidP="00BC06AB">
            <w:pPr>
              <w:rPr>
                <w:rFonts w:ascii="Century Gothic" w:hAnsi="Century Gothic"/>
              </w:rPr>
            </w:pPr>
            <w:r w:rsidRPr="00BC06AB">
              <w:rPr>
                <w:rFonts w:ascii="Century Gothic" w:hAnsi="Century Gothic" w:cs="Tahoma"/>
                <w:sz w:val="24"/>
                <w:szCs w:val="24"/>
              </w:rPr>
              <w:t>Páginas de la 230 a la 245.</w:t>
            </w:r>
          </w:p>
        </w:tc>
        <w:tc>
          <w:tcPr>
            <w:tcW w:w="2384" w:type="dxa"/>
            <w:vAlign w:val="center"/>
          </w:tcPr>
          <w:p w14:paraId="1C02C1AD" w14:textId="6BFB5703" w:rsidR="00BC06AB" w:rsidRPr="00BC06AB" w:rsidRDefault="00BC06AB" w:rsidP="00BC06AB">
            <w:pPr>
              <w:rPr>
                <w:rFonts w:ascii="Century Gothic" w:hAnsi="Century Gothic"/>
              </w:rPr>
            </w:pPr>
            <w:r w:rsidRPr="00BC06AB">
              <w:rPr>
                <w:rFonts w:ascii="Century Gothic" w:hAnsi="Century Gothic" w:cs="Tahoma"/>
                <w:kern w:val="0"/>
                <w:sz w:val="24"/>
                <w:szCs w:val="24"/>
              </w:rPr>
              <w:t>Diferentes ideas e igualdad de derechos.</w:t>
            </w:r>
          </w:p>
        </w:tc>
        <w:tc>
          <w:tcPr>
            <w:tcW w:w="5490" w:type="dxa"/>
            <w:vAlign w:val="center"/>
          </w:tcPr>
          <w:p w14:paraId="30CCDB5F" w14:textId="3CFC514D" w:rsidR="00BC06AB" w:rsidRPr="00BC06AB" w:rsidRDefault="00BC06AB" w:rsidP="00BC06AB">
            <w:pPr>
              <w:rPr>
                <w:rFonts w:ascii="Century Gothic" w:hAnsi="Century Gothic"/>
              </w:rPr>
            </w:pPr>
            <w:r w:rsidRPr="00BC06AB">
              <w:rPr>
                <w:rFonts w:ascii="Century Gothic" w:hAnsi="Century Gothic" w:cs="Tahoma"/>
                <w:kern w:val="0"/>
                <w:sz w:val="24"/>
                <w:szCs w:val="24"/>
              </w:rPr>
              <w:t>Reconocer las características políticas, sociales, económicas y culturales del periodo de la historia nacional conocido como México posrevolucionario, donde se dio un conflicto ocasionado por la inconformidad hacia las leyes que prohibían la participación de la Iglesia en la política y por la manera como se implementaron. En comunidad, participar en la creación de un mural a partir de un manifiesto para promover la tolerancia hacia otras maneras de pensar.</w:t>
            </w:r>
          </w:p>
        </w:tc>
      </w:tr>
      <w:tr w:rsidR="00BC06AB" w:rsidRPr="00BC06AB" w14:paraId="11363062" w14:textId="77777777" w:rsidTr="00BC06AB">
        <w:tc>
          <w:tcPr>
            <w:tcW w:w="2263" w:type="dxa"/>
            <w:vAlign w:val="center"/>
          </w:tcPr>
          <w:p w14:paraId="6A945832" w14:textId="6D53C6AE" w:rsidR="00BC06AB" w:rsidRPr="00BC06AB" w:rsidRDefault="00BC06AB" w:rsidP="00BC06AB">
            <w:pPr>
              <w:rPr>
                <w:rFonts w:ascii="Century Gothic" w:hAnsi="Century Gothic"/>
              </w:rPr>
            </w:pPr>
            <w:r w:rsidRPr="00BC06AB">
              <w:rPr>
                <w:rFonts w:ascii="Century Gothic" w:hAnsi="Century Gothic"/>
                <w:kern w:val="0"/>
                <w14:ligatures w14:val="none"/>
              </w:rPr>
              <w:t>Lenguajes</w:t>
            </w:r>
          </w:p>
        </w:tc>
        <w:tc>
          <w:tcPr>
            <w:tcW w:w="2268" w:type="dxa"/>
            <w:vAlign w:val="center"/>
          </w:tcPr>
          <w:p w14:paraId="57589D2A" w14:textId="77777777" w:rsidR="00BC06AB" w:rsidRPr="00BC06AB" w:rsidRDefault="00BC06AB" w:rsidP="00BC06AB">
            <w:pPr>
              <w:rPr>
                <w:rFonts w:ascii="Century Gothic" w:hAnsi="Century Gothic"/>
              </w:rPr>
            </w:pPr>
            <w:r w:rsidRPr="00BC06AB">
              <w:rPr>
                <w:rFonts w:ascii="Century Gothic" w:hAnsi="Century Gothic"/>
              </w:rPr>
              <w:t>Pensamiento crítico</w:t>
            </w:r>
          </w:p>
          <w:p w14:paraId="3A93112C" w14:textId="77777777" w:rsidR="00BC06AB" w:rsidRPr="00BC06AB" w:rsidRDefault="00BC06AB" w:rsidP="00BC06AB">
            <w:pPr>
              <w:rPr>
                <w:rFonts w:ascii="Century Gothic" w:hAnsi="Century Gothic"/>
              </w:rPr>
            </w:pPr>
            <w:r w:rsidRPr="00BC06AB">
              <w:rPr>
                <w:rFonts w:ascii="Century Gothic" w:hAnsi="Century Gothic"/>
              </w:rPr>
              <w:t xml:space="preserve">Apropiación de las culturas a través de la lectura y la escritura </w:t>
            </w:r>
          </w:p>
          <w:p w14:paraId="58086788" w14:textId="34FA4B3E" w:rsidR="00BC06AB" w:rsidRPr="00BC06AB" w:rsidRDefault="00BC06AB" w:rsidP="00BC06AB">
            <w:pPr>
              <w:rPr>
                <w:rFonts w:ascii="Century Gothic" w:hAnsi="Century Gothic"/>
              </w:rPr>
            </w:pPr>
          </w:p>
        </w:tc>
        <w:tc>
          <w:tcPr>
            <w:tcW w:w="1985" w:type="dxa"/>
            <w:vAlign w:val="center"/>
          </w:tcPr>
          <w:p w14:paraId="598FB488" w14:textId="77777777" w:rsidR="00BC06AB" w:rsidRPr="00BC06AB" w:rsidRDefault="00BC06AB" w:rsidP="00BC06AB">
            <w:pPr>
              <w:jc w:val="center"/>
              <w:rPr>
                <w:rFonts w:ascii="Century Gothic" w:hAnsi="Century Gothic" w:cs="Tahoma"/>
                <w:sz w:val="24"/>
                <w:szCs w:val="24"/>
              </w:rPr>
            </w:pPr>
            <w:r w:rsidRPr="00BC06AB">
              <w:rPr>
                <w:rFonts w:ascii="Century Gothic" w:hAnsi="Century Gothic" w:cs="Tahoma"/>
                <w:sz w:val="24"/>
                <w:szCs w:val="24"/>
              </w:rPr>
              <w:t>Escolar.</w:t>
            </w:r>
          </w:p>
          <w:p w14:paraId="55789F6D" w14:textId="790DA3F7" w:rsidR="00BC06AB" w:rsidRPr="00BC06AB" w:rsidRDefault="00BC06AB" w:rsidP="00BC06AB">
            <w:pPr>
              <w:rPr>
                <w:rFonts w:ascii="Century Gothic" w:hAnsi="Century Gothic"/>
              </w:rPr>
            </w:pPr>
            <w:r w:rsidRPr="00BC06AB">
              <w:rPr>
                <w:rFonts w:ascii="Century Gothic" w:hAnsi="Century Gothic" w:cs="Tahoma"/>
                <w:sz w:val="24"/>
                <w:szCs w:val="24"/>
              </w:rPr>
              <w:t>Páginas de la 20 a la 29.</w:t>
            </w:r>
          </w:p>
        </w:tc>
        <w:tc>
          <w:tcPr>
            <w:tcW w:w="2384" w:type="dxa"/>
            <w:vAlign w:val="center"/>
          </w:tcPr>
          <w:p w14:paraId="0F88FC55" w14:textId="394353F0" w:rsidR="00BC06AB" w:rsidRPr="00BC06AB" w:rsidRDefault="00BC06AB" w:rsidP="00BC06AB">
            <w:pPr>
              <w:rPr>
                <w:rFonts w:ascii="Century Gothic" w:hAnsi="Century Gothic"/>
              </w:rPr>
            </w:pPr>
            <w:r w:rsidRPr="00BC06AB">
              <w:rPr>
                <w:rFonts w:ascii="Century Gothic" w:hAnsi="Century Gothic" w:cs="Tahoma"/>
                <w:kern w:val="0"/>
                <w:sz w:val="24"/>
                <w:szCs w:val="24"/>
              </w:rPr>
              <w:t>Juguemos a la mesa.</w:t>
            </w:r>
          </w:p>
        </w:tc>
        <w:tc>
          <w:tcPr>
            <w:tcW w:w="5490" w:type="dxa"/>
            <w:vAlign w:val="center"/>
          </w:tcPr>
          <w:p w14:paraId="1544F34B" w14:textId="36C7DE60" w:rsidR="00BC06AB" w:rsidRPr="00BC06AB" w:rsidRDefault="00BC06AB" w:rsidP="00BC06AB">
            <w:pPr>
              <w:rPr>
                <w:rFonts w:ascii="Century Gothic" w:hAnsi="Century Gothic"/>
              </w:rPr>
            </w:pPr>
            <w:r w:rsidRPr="00BC06AB">
              <w:rPr>
                <w:rFonts w:ascii="Century Gothic" w:hAnsi="Century Gothic" w:cs="Tahoma"/>
                <w:kern w:val="0"/>
                <w:sz w:val="24"/>
                <w:szCs w:val="24"/>
              </w:rPr>
              <w:t>Acercarse a la lectura y escritura de textos argumentativos. Además, identificar, reflexionar y registrar las opiniones de otros estudiantes de la escuela, lo cual les permitirá compartir puntos de vista a través de una mesa de diálogo.</w:t>
            </w:r>
          </w:p>
        </w:tc>
      </w:tr>
      <w:tr w:rsidR="00BC06AB" w:rsidRPr="00BC06AB" w14:paraId="28903A2D" w14:textId="77777777" w:rsidTr="00BC06AB">
        <w:tc>
          <w:tcPr>
            <w:tcW w:w="2263" w:type="dxa"/>
            <w:vAlign w:val="center"/>
          </w:tcPr>
          <w:p w14:paraId="66EAD28D" w14:textId="536E51B6" w:rsidR="00BC06AB" w:rsidRPr="00BC06AB" w:rsidRDefault="00BC06AB" w:rsidP="00BC06AB">
            <w:pPr>
              <w:rPr>
                <w:rFonts w:ascii="Century Gothic" w:hAnsi="Century Gothic"/>
              </w:rPr>
            </w:pPr>
            <w:r w:rsidRPr="00BC06AB">
              <w:rPr>
                <w:rFonts w:ascii="Century Gothic" w:hAnsi="Century Gothic"/>
                <w:kern w:val="0"/>
                <w14:ligatures w14:val="none"/>
              </w:rPr>
              <w:t>Ética, naturaleza y sociedades</w:t>
            </w:r>
          </w:p>
        </w:tc>
        <w:tc>
          <w:tcPr>
            <w:tcW w:w="2268" w:type="dxa"/>
            <w:vAlign w:val="center"/>
          </w:tcPr>
          <w:p w14:paraId="2F4CFF52" w14:textId="77777777" w:rsidR="00BC06AB" w:rsidRPr="00BC06AB" w:rsidRDefault="00BC06AB" w:rsidP="00BC06AB">
            <w:pPr>
              <w:rPr>
                <w:rFonts w:ascii="Century Gothic" w:hAnsi="Century Gothic"/>
              </w:rPr>
            </w:pPr>
            <w:r w:rsidRPr="00BC06AB">
              <w:rPr>
                <w:rFonts w:ascii="Century Gothic" w:hAnsi="Century Gothic"/>
              </w:rPr>
              <w:t>Pensamiento crítico</w:t>
            </w:r>
          </w:p>
          <w:p w14:paraId="599C58D7" w14:textId="4386A27A" w:rsidR="00BC06AB" w:rsidRPr="00BC06AB" w:rsidRDefault="00BC06AB" w:rsidP="00BC06AB">
            <w:pPr>
              <w:rPr>
                <w:rFonts w:ascii="Century Gothic" w:hAnsi="Century Gothic"/>
              </w:rPr>
            </w:pPr>
          </w:p>
        </w:tc>
        <w:tc>
          <w:tcPr>
            <w:tcW w:w="1985" w:type="dxa"/>
            <w:vAlign w:val="center"/>
          </w:tcPr>
          <w:p w14:paraId="1B58346B" w14:textId="77777777" w:rsidR="00BC06AB" w:rsidRPr="00BC06AB" w:rsidRDefault="00BC06AB" w:rsidP="00BC06AB">
            <w:pPr>
              <w:jc w:val="center"/>
              <w:rPr>
                <w:rFonts w:ascii="Century Gothic" w:hAnsi="Century Gothic" w:cs="Tahoma"/>
                <w:sz w:val="24"/>
                <w:szCs w:val="24"/>
              </w:rPr>
            </w:pPr>
            <w:r w:rsidRPr="00BC06AB">
              <w:rPr>
                <w:rFonts w:ascii="Century Gothic" w:hAnsi="Century Gothic" w:cs="Tahoma"/>
                <w:sz w:val="24"/>
                <w:szCs w:val="24"/>
              </w:rPr>
              <w:t>Escolar.</w:t>
            </w:r>
          </w:p>
          <w:p w14:paraId="5E092657" w14:textId="21DF9FC0" w:rsidR="00BC06AB" w:rsidRPr="00BC06AB" w:rsidRDefault="00BC06AB" w:rsidP="00BC06AB">
            <w:pPr>
              <w:rPr>
                <w:rFonts w:ascii="Century Gothic" w:hAnsi="Century Gothic"/>
              </w:rPr>
            </w:pPr>
            <w:r w:rsidRPr="00BC06AB">
              <w:rPr>
                <w:rFonts w:ascii="Century Gothic" w:hAnsi="Century Gothic" w:cs="Tahoma"/>
                <w:sz w:val="24"/>
                <w:szCs w:val="24"/>
              </w:rPr>
              <w:t>Páginas de la 194 a la 209.</w:t>
            </w:r>
          </w:p>
        </w:tc>
        <w:tc>
          <w:tcPr>
            <w:tcW w:w="2384" w:type="dxa"/>
            <w:vAlign w:val="center"/>
          </w:tcPr>
          <w:p w14:paraId="2010C993" w14:textId="2F7CA8F0" w:rsidR="00BC06AB" w:rsidRPr="00BC06AB" w:rsidRDefault="00BC06AB" w:rsidP="00BC06AB">
            <w:pPr>
              <w:rPr>
                <w:rFonts w:ascii="Century Gothic" w:hAnsi="Century Gothic"/>
              </w:rPr>
            </w:pPr>
            <w:r w:rsidRPr="00BC06AB">
              <w:rPr>
                <w:rFonts w:ascii="Century Gothic" w:hAnsi="Century Gothic" w:cs="Tahoma"/>
                <w:kern w:val="0"/>
                <w:sz w:val="24"/>
                <w:szCs w:val="24"/>
              </w:rPr>
              <w:t xml:space="preserve"> Contribuyo con los servicios de mi escuela.</w:t>
            </w:r>
          </w:p>
        </w:tc>
        <w:tc>
          <w:tcPr>
            <w:tcW w:w="5490" w:type="dxa"/>
            <w:vAlign w:val="center"/>
          </w:tcPr>
          <w:p w14:paraId="3F11CA71" w14:textId="2CAAD5D4" w:rsidR="00BC06AB" w:rsidRPr="00BC06AB" w:rsidRDefault="00BC06AB" w:rsidP="00BC06AB">
            <w:pPr>
              <w:rPr>
                <w:rFonts w:ascii="Century Gothic" w:hAnsi="Century Gothic"/>
              </w:rPr>
            </w:pPr>
            <w:r w:rsidRPr="00BC06AB">
              <w:rPr>
                <w:rFonts w:ascii="Century Gothic" w:hAnsi="Century Gothic" w:cs="Tahoma"/>
                <w:kern w:val="0"/>
                <w:sz w:val="24"/>
                <w:szCs w:val="24"/>
              </w:rPr>
              <w:t>Conocer la importancia de los servicios públicos, de la infraestructura que se requiere para brindarlos y de la contribución para su cuidado y mantenimiento. Participar en una campaña para dar a conocer los problemas relacionados con los servicios públicos en su escuela y las posibles soluciones a éstos, así como para sensibilizar a la comunidad escolar acerca de la importancia de su cuidado.</w:t>
            </w:r>
          </w:p>
        </w:tc>
      </w:tr>
    </w:tbl>
    <w:p w14:paraId="099E919D" w14:textId="77777777" w:rsidR="002F59BC" w:rsidRDefault="002F59BC"/>
    <w:sectPr w:rsidR="002F59BC" w:rsidSect="00885B5F">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50602" w14:textId="77777777" w:rsidR="00885B5F" w:rsidRDefault="00885B5F" w:rsidP="00C825A1">
      <w:pPr>
        <w:spacing w:after="0" w:line="240" w:lineRule="auto"/>
      </w:pPr>
      <w:r>
        <w:separator/>
      </w:r>
    </w:p>
  </w:endnote>
  <w:endnote w:type="continuationSeparator" w:id="0">
    <w:p w14:paraId="1AA1147D" w14:textId="77777777" w:rsidR="00885B5F" w:rsidRDefault="00885B5F" w:rsidP="00C8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D92E3" w14:textId="77777777" w:rsidR="00885B5F" w:rsidRDefault="00885B5F" w:rsidP="00C825A1">
      <w:pPr>
        <w:spacing w:after="0" w:line="240" w:lineRule="auto"/>
      </w:pPr>
      <w:r>
        <w:separator/>
      </w:r>
    </w:p>
  </w:footnote>
  <w:footnote w:type="continuationSeparator" w:id="0">
    <w:p w14:paraId="1BED90E2" w14:textId="77777777" w:rsidR="00885B5F" w:rsidRDefault="00885B5F" w:rsidP="00C82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5B861" w14:textId="0DA4F84B" w:rsidR="00C825A1" w:rsidRPr="00C825A1" w:rsidRDefault="00C825A1" w:rsidP="00C825A1">
    <w:pPr>
      <w:pStyle w:val="Encabezado"/>
      <w:jc w:val="right"/>
      <w:rPr>
        <w:rFonts w:ascii="Century Gothic" w:hAnsi="Century Gothic"/>
      </w:rPr>
    </w:pPr>
    <w:r>
      <w:rPr>
        <w:noProof/>
      </w:rPr>
      <w:drawing>
        <wp:anchor distT="0" distB="0" distL="114300" distR="114300" simplePos="0" relativeHeight="251658240" behindDoc="1" locked="0" layoutInCell="1" allowOverlap="1" wp14:anchorId="797586E9" wp14:editId="202070DE">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21229032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113749"/>
    <w:rsid w:val="002E23F0"/>
    <w:rsid w:val="002F59BC"/>
    <w:rsid w:val="004104AA"/>
    <w:rsid w:val="00885B5F"/>
    <w:rsid w:val="009A5BC5"/>
    <w:rsid w:val="00AD1658"/>
    <w:rsid w:val="00B474F4"/>
    <w:rsid w:val="00B51E4C"/>
    <w:rsid w:val="00BC06AB"/>
    <w:rsid w:val="00C65812"/>
    <w:rsid w:val="00C825A1"/>
    <w:rsid w:val="00C82D7E"/>
    <w:rsid w:val="00E70855"/>
    <w:rsid w:val="00F318A6"/>
    <w:rsid w:val="00FD6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25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25A1"/>
  </w:style>
  <w:style w:type="paragraph" w:styleId="Piedepgina">
    <w:name w:val="footer"/>
    <w:basedOn w:val="Normal"/>
    <w:link w:val="PiedepginaCar"/>
    <w:uiPriority w:val="99"/>
    <w:unhideWhenUsed/>
    <w:rsid w:val="00C825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2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39769">
      <w:bodyDiv w:val="1"/>
      <w:marLeft w:val="0"/>
      <w:marRight w:val="0"/>
      <w:marTop w:val="0"/>
      <w:marBottom w:val="0"/>
      <w:divBdr>
        <w:top w:val="none" w:sz="0" w:space="0" w:color="auto"/>
        <w:left w:val="none" w:sz="0" w:space="0" w:color="auto"/>
        <w:bottom w:val="none" w:sz="0" w:space="0" w:color="auto"/>
        <w:right w:val="none" w:sz="0" w:space="0" w:color="auto"/>
      </w:divBdr>
    </w:div>
    <w:div w:id="184025213">
      <w:bodyDiv w:val="1"/>
      <w:marLeft w:val="0"/>
      <w:marRight w:val="0"/>
      <w:marTop w:val="0"/>
      <w:marBottom w:val="0"/>
      <w:divBdr>
        <w:top w:val="none" w:sz="0" w:space="0" w:color="auto"/>
        <w:left w:val="none" w:sz="0" w:space="0" w:color="auto"/>
        <w:bottom w:val="none" w:sz="0" w:space="0" w:color="auto"/>
        <w:right w:val="none" w:sz="0" w:space="0" w:color="auto"/>
      </w:divBdr>
    </w:div>
    <w:div w:id="312681197">
      <w:bodyDiv w:val="1"/>
      <w:marLeft w:val="0"/>
      <w:marRight w:val="0"/>
      <w:marTop w:val="0"/>
      <w:marBottom w:val="0"/>
      <w:divBdr>
        <w:top w:val="none" w:sz="0" w:space="0" w:color="auto"/>
        <w:left w:val="none" w:sz="0" w:space="0" w:color="auto"/>
        <w:bottom w:val="none" w:sz="0" w:space="0" w:color="auto"/>
        <w:right w:val="none" w:sz="0" w:space="0" w:color="auto"/>
      </w:divBdr>
    </w:div>
    <w:div w:id="347297567">
      <w:bodyDiv w:val="1"/>
      <w:marLeft w:val="0"/>
      <w:marRight w:val="0"/>
      <w:marTop w:val="0"/>
      <w:marBottom w:val="0"/>
      <w:divBdr>
        <w:top w:val="none" w:sz="0" w:space="0" w:color="auto"/>
        <w:left w:val="none" w:sz="0" w:space="0" w:color="auto"/>
        <w:bottom w:val="none" w:sz="0" w:space="0" w:color="auto"/>
        <w:right w:val="none" w:sz="0" w:space="0" w:color="auto"/>
      </w:divBdr>
    </w:div>
    <w:div w:id="1799571154">
      <w:bodyDiv w:val="1"/>
      <w:marLeft w:val="0"/>
      <w:marRight w:val="0"/>
      <w:marTop w:val="0"/>
      <w:marBottom w:val="0"/>
      <w:divBdr>
        <w:top w:val="none" w:sz="0" w:space="0" w:color="auto"/>
        <w:left w:val="none" w:sz="0" w:space="0" w:color="auto"/>
        <w:bottom w:val="none" w:sz="0" w:space="0" w:color="auto"/>
        <w:right w:val="none" w:sz="0" w:space="0" w:color="auto"/>
      </w:divBdr>
    </w:div>
    <w:div w:id="1941988550">
      <w:bodyDiv w:val="1"/>
      <w:marLeft w:val="0"/>
      <w:marRight w:val="0"/>
      <w:marTop w:val="0"/>
      <w:marBottom w:val="0"/>
      <w:divBdr>
        <w:top w:val="none" w:sz="0" w:space="0" w:color="auto"/>
        <w:left w:val="none" w:sz="0" w:space="0" w:color="auto"/>
        <w:bottom w:val="none" w:sz="0" w:space="0" w:color="auto"/>
        <w:right w:val="none" w:sz="0" w:space="0" w:color="auto"/>
      </w:divBdr>
    </w:div>
    <w:div w:id="199355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355</Words>
  <Characters>1957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cp:lastModifiedBy>G3317</cp:lastModifiedBy>
  <cp:revision>3</cp:revision>
  <dcterms:created xsi:type="dcterms:W3CDTF">2023-08-21T19:57:00Z</dcterms:created>
  <dcterms:modified xsi:type="dcterms:W3CDTF">2024-04-07T02:49:00Z</dcterms:modified>
  <cp:category>www.DidacticosMx.com</cp:category>
</cp:coreProperties>
</file>