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0B4AF" w14:textId="35515B98" w:rsidR="007C594A" w:rsidRDefault="007C594A" w:rsidP="007C594A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PROYECTOS DEL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1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3160711F" w14:textId="1EB232BE" w:rsidR="007C594A" w:rsidRDefault="007C594A" w:rsidP="007C594A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1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5BE07A0B" w14:textId="77777777" w:rsidR="007C594A" w:rsidRDefault="007C594A" w:rsidP="007C594A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4DB6D249" w14:textId="77777777" w:rsidR="007C594A" w:rsidRDefault="007C594A" w:rsidP="007C594A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79AE0FA3" w14:textId="3F223759" w:rsidR="007C594A" w:rsidRDefault="007C594A" w:rsidP="007C594A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1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4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proyectos didácticos.</w:t>
      </w:r>
    </w:p>
    <w:p w14:paraId="45D154C7" w14:textId="77777777" w:rsidR="007C594A" w:rsidRDefault="007C594A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42DD7B55" w:rsidR="00AD1658" w:rsidRDefault="00C825A1" w:rsidP="005B6880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1B66BF">
        <w:rPr>
          <w:rFonts w:ascii="Century Gothic" w:hAnsi="Century Gothic"/>
          <w:b/>
          <w:bCs/>
          <w:sz w:val="32"/>
          <w:szCs w:val="32"/>
        </w:rPr>
        <w:lastRenderedPageBreak/>
        <w:t>6to Grado</w:t>
      </w:r>
    </w:p>
    <w:p w14:paraId="0E13DBDB" w14:textId="359C2562" w:rsidR="001B66BF" w:rsidRPr="001B66BF" w:rsidRDefault="001B66BF" w:rsidP="005B6880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Periodo 04 al 15 septiembre</w:t>
      </w:r>
    </w:p>
    <w:tbl>
      <w:tblPr>
        <w:tblStyle w:val="Tablaconcuadrcul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AD1658" w:rsidRPr="001B66BF" w14:paraId="51312299" w14:textId="77777777" w:rsidTr="00C65812">
        <w:tc>
          <w:tcPr>
            <w:tcW w:w="14390" w:type="dxa"/>
            <w:gridSpan w:val="5"/>
            <w:shd w:val="clear" w:color="auto" w:fill="FF8F8F"/>
            <w:vAlign w:val="center"/>
          </w:tcPr>
          <w:p w14:paraId="7345A0A7" w14:textId="1AD02687" w:rsidR="00AD1658" w:rsidRPr="001B66BF" w:rsidRDefault="001B66BF" w:rsidP="005B6880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1B66BF">
              <w:rPr>
                <w:rFonts w:ascii="Century Gothic" w:hAnsi="Century Gothic" w:cs="Tahoma"/>
                <w:b/>
                <w:bCs/>
                <w:sz w:val="24"/>
                <w:szCs w:val="24"/>
              </w:rPr>
              <w:t>Autorreconocimiento e identidad personal.</w:t>
            </w:r>
          </w:p>
        </w:tc>
      </w:tr>
      <w:tr w:rsidR="00AD1658" w:rsidRPr="001B66BF" w14:paraId="0ED89697" w14:textId="77777777" w:rsidTr="00C65812">
        <w:tc>
          <w:tcPr>
            <w:tcW w:w="3114" w:type="dxa"/>
            <w:shd w:val="clear" w:color="auto" w:fill="FFD1D1"/>
            <w:vAlign w:val="center"/>
          </w:tcPr>
          <w:p w14:paraId="2010CF81" w14:textId="0E05CB10" w:rsidR="00AD1658" w:rsidRPr="001B66BF" w:rsidRDefault="00AD1658" w:rsidP="005B6880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1B66BF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FFD1D1"/>
            <w:vAlign w:val="center"/>
          </w:tcPr>
          <w:p w14:paraId="3FF55929" w14:textId="2775533F" w:rsidR="00AD1658" w:rsidRPr="001B66BF" w:rsidRDefault="00AD1658" w:rsidP="005B6880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1B66BF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FFD1D1"/>
            <w:vAlign w:val="center"/>
          </w:tcPr>
          <w:p w14:paraId="426A56CE" w14:textId="6F50816E" w:rsidR="00AD1658" w:rsidRPr="001B66BF" w:rsidRDefault="00AD1658" w:rsidP="005B6880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1B66BF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FFD1D1"/>
            <w:vAlign w:val="center"/>
          </w:tcPr>
          <w:p w14:paraId="0490FFAC" w14:textId="4AF7C1E6" w:rsidR="00AD1658" w:rsidRPr="001B66BF" w:rsidRDefault="00AD1658" w:rsidP="005B6880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1B66BF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FFD1D1"/>
            <w:vAlign w:val="center"/>
          </w:tcPr>
          <w:p w14:paraId="49AD0D00" w14:textId="0DD44579" w:rsidR="00AD1658" w:rsidRPr="001B66BF" w:rsidRDefault="00AD1658" w:rsidP="005B6880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1B66BF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1B66BF" w:rsidRPr="001B66BF" w14:paraId="3E0896F7" w14:textId="77777777" w:rsidTr="00C65812">
        <w:tc>
          <w:tcPr>
            <w:tcW w:w="3114" w:type="dxa"/>
            <w:vMerge w:val="restart"/>
            <w:vAlign w:val="center"/>
          </w:tcPr>
          <w:p w14:paraId="2615CD50" w14:textId="4252F2B9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  <w:r w:rsidRPr="001B66BF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51" w:type="dxa"/>
            <w:vAlign w:val="center"/>
          </w:tcPr>
          <w:p w14:paraId="0E2983B4" w14:textId="77777777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  <w:r w:rsidRPr="001B66BF">
              <w:rPr>
                <w:rFonts w:ascii="Century Gothic" w:hAnsi="Century Gothic"/>
              </w:rPr>
              <w:t>Inclusión</w:t>
            </w:r>
          </w:p>
          <w:p w14:paraId="2D724138" w14:textId="5543CE9E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39" w:type="dxa"/>
            <w:vMerge w:val="restart"/>
            <w:vAlign w:val="center"/>
          </w:tcPr>
          <w:p w14:paraId="133CBBF1" w14:textId="1DA9A4D3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  <w:r w:rsidRPr="001B66BF"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  <w:tc>
          <w:tcPr>
            <w:tcW w:w="2940" w:type="dxa"/>
            <w:vMerge w:val="restart"/>
            <w:vAlign w:val="center"/>
          </w:tcPr>
          <w:p w14:paraId="1C02C1AD" w14:textId="1024F68A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  <w:r w:rsidRPr="001B66BF">
              <w:rPr>
                <w:rFonts w:ascii="Century Gothic" w:hAnsi="Century Gothic" w:cs="Tahoma"/>
                <w:kern w:val="0"/>
                <w:sz w:val="24"/>
                <w:szCs w:val="24"/>
              </w:rPr>
              <w:t>¿Quiénes somos?</w:t>
            </w:r>
          </w:p>
        </w:tc>
        <w:tc>
          <w:tcPr>
            <w:tcW w:w="3846" w:type="dxa"/>
            <w:vMerge w:val="restart"/>
            <w:vAlign w:val="center"/>
          </w:tcPr>
          <w:p w14:paraId="30CCDB5F" w14:textId="7512D556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  <w:r w:rsidRPr="001B66BF">
              <w:rPr>
                <w:rFonts w:ascii="Century Gothic" w:hAnsi="Century Gothic" w:cs="Tahoma"/>
                <w:kern w:val="0"/>
                <w:sz w:val="24"/>
                <w:szCs w:val="24"/>
              </w:rPr>
              <w:t>Reconocer quién son e identificar los diferentes grupos sociales a los que pertenecen. Junto con sus compañeras y compañeros, elaborar una infografía que harán pública en su comunidad escolar.</w:t>
            </w:r>
          </w:p>
        </w:tc>
      </w:tr>
      <w:tr w:rsidR="001B66BF" w:rsidRPr="001B66BF" w14:paraId="11363062" w14:textId="77777777" w:rsidTr="00C65812">
        <w:tc>
          <w:tcPr>
            <w:tcW w:w="3114" w:type="dxa"/>
            <w:vMerge/>
            <w:vAlign w:val="center"/>
          </w:tcPr>
          <w:p w14:paraId="6A945832" w14:textId="0125574E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51" w:type="dxa"/>
            <w:vAlign w:val="center"/>
          </w:tcPr>
          <w:p w14:paraId="0066A679" w14:textId="0336800C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  <w:r w:rsidRPr="001B66BF">
              <w:rPr>
                <w:rFonts w:ascii="Century Gothic" w:hAnsi="Century Gothic"/>
              </w:rPr>
              <w:t>Interculturalidad critica</w:t>
            </w:r>
          </w:p>
          <w:p w14:paraId="58086788" w14:textId="34FA4B3E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39" w:type="dxa"/>
            <w:vMerge/>
            <w:vAlign w:val="center"/>
          </w:tcPr>
          <w:p w14:paraId="55789F6D" w14:textId="37258208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40" w:type="dxa"/>
            <w:vMerge/>
            <w:vAlign w:val="center"/>
          </w:tcPr>
          <w:p w14:paraId="0F88FC55" w14:textId="198C51A9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846" w:type="dxa"/>
            <w:vMerge/>
            <w:vAlign w:val="center"/>
          </w:tcPr>
          <w:p w14:paraId="1544F34B" w14:textId="1AF08E35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</w:p>
        </w:tc>
      </w:tr>
      <w:tr w:rsidR="001B66BF" w:rsidRPr="001B66BF" w14:paraId="28903A2D" w14:textId="77777777" w:rsidTr="00C65812">
        <w:tc>
          <w:tcPr>
            <w:tcW w:w="3114" w:type="dxa"/>
            <w:vMerge/>
            <w:vAlign w:val="center"/>
          </w:tcPr>
          <w:p w14:paraId="66EAD28D" w14:textId="1F13F831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51" w:type="dxa"/>
            <w:vAlign w:val="center"/>
          </w:tcPr>
          <w:p w14:paraId="208F478B" w14:textId="77777777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  <w:r w:rsidRPr="001B66BF">
              <w:rPr>
                <w:rFonts w:ascii="Century Gothic" w:hAnsi="Century Gothic"/>
              </w:rPr>
              <w:t>Igualdad de género</w:t>
            </w:r>
          </w:p>
          <w:p w14:paraId="599C58D7" w14:textId="4386A27A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39" w:type="dxa"/>
            <w:vMerge/>
            <w:vAlign w:val="center"/>
          </w:tcPr>
          <w:p w14:paraId="5E092657" w14:textId="40316F46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40" w:type="dxa"/>
            <w:vMerge/>
            <w:vAlign w:val="center"/>
          </w:tcPr>
          <w:p w14:paraId="2010C993" w14:textId="6FA5A17F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846" w:type="dxa"/>
            <w:vMerge/>
            <w:vAlign w:val="center"/>
          </w:tcPr>
          <w:p w14:paraId="3F11CA71" w14:textId="1092ED48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099E919D" w14:textId="77777777" w:rsidR="002F59BC" w:rsidRPr="001B66BF" w:rsidRDefault="002F59BC" w:rsidP="005B6880">
      <w:pPr>
        <w:jc w:val="center"/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1B66BF" w:rsidRPr="001B66BF" w14:paraId="54932741" w14:textId="77777777" w:rsidTr="007B7E32">
        <w:tc>
          <w:tcPr>
            <w:tcW w:w="14390" w:type="dxa"/>
            <w:gridSpan w:val="5"/>
            <w:shd w:val="clear" w:color="auto" w:fill="FF8F8F"/>
            <w:vAlign w:val="center"/>
          </w:tcPr>
          <w:p w14:paraId="05136841" w14:textId="720EB5DA" w:rsidR="001B66BF" w:rsidRPr="001B66BF" w:rsidRDefault="001B66BF" w:rsidP="005B6880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bookmarkStart w:id="0" w:name="_Hlk142874340"/>
            <w:r w:rsidRPr="001B66BF">
              <w:rPr>
                <w:rFonts w:ascii="Century Gothic" w:hAnsi="Century Gothic" w:cs="Tahoma"/>
                <w:b/>
                <w:bCs/>
                <w:sz w:val="24"/>
                <w:szCs w:val="24"/>
              </w:rPr>
              <w:t>Sentido de pertenencia: familia</w:t>
            </w:r>
            <w:bookmarkEnd w:id="0"/>
          </w:p>
        </w:tc>
      </w:tr>
      <w:tr w:rsidR="001B66BF" w:rsidRPr="001B66BF" w14:paraId="78CB7A82" w14:textId="77777777" w:rsidTr="007B7E32">
        <w:tc>
          <w:tcPr>
            <w:tcW w:w="3114" w:type="dxa"/>
            <w:shd w:val="clear" w:color="auto" w:fill="FFD1D1"/>
            <w:vAlign w:val="center"/>
          </w:tcPr>
          <w:p w14:paraId="2C55D7CF" w14:textId="77777777" w:rsidR="001B66BF" w:rsidRPr="001B66BF" w:rsidRDefault="001B66BF" w:rsidP="005B6880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1B66BF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FFD1D1"/>
            <w:vAlign w:val="center"/>
          </w:tcPr>
          <w:p w14:paraId="7444E8F4" w14:textId="77777777" w:rsidR="001B66BF" w:rsidRPr="001B66BF" w:rsidRDefault="001B66BF" w:rsidP="005B6880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1B66BF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FFD1D1"/>
            <w:vAlign w:val="center"/>
          </w:tcPr>
          <w:p w14:paraId="12A9C0CB" w14:textId="77777777" w:rsidR="001B66BF" w:rsidRPr="001B66BF" w:rsidRDefault="001B66BF" w:rsidP="005B6880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1B66BF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FFD1D1"/>
            <w:vAlign w:val="center"/>
          </w:tcPr>
          <w:p w14:paraId="1555F1CF" w14:textId="77777777" w:rsidR="001B66BF" w:rsidRPr="001B66BF" w:rsidRDefault="001B66BF" w:rsidP="005B6880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1B66BF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FFD1D1"/>
            <w:vAlign w:val="center"/>
          </w:tcPr>
          <w:p w14:paraId="1D2A3F4F" w14:textId="77777777" w:rsidR="001B66BF" w:rsidRPr="001B66BF" w:rsidRDefault="001B66BF" w:rsidP="005B6880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1B66BF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1B66BF" w:rsidRPr="001B66BF" w14:paraId="6933F422" w14:textId="77777777" w:rsidTr="007B7E32">
        <w:tc>
          <w:tcPr>
            <w:tcW w:w="3114" w:type="dxa"/>
            <w:vMerge w:val="restart"/>
            <w:vAlign w:val="center"/>
          </w:tcPr>
          <w:p w14:paraId="3127D200" w14:textId="0ECD123B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  <w:r w:rsidRPr="001B66BF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51" w:type="dxa"/>
            <w:vAlign w:val="center"/>
          </w:tcPr>
          <w:p w14:paraId="2A26506F" w14:textId="77777777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  <w:r w:rsidRPr="001B66BF">
              <w:rPr>
                <w:rFonts w:ascii="Century Gothic" w:hAnsi="Century Gothic"/>
              </w:rPr>
              <w:t>Inclusión</w:t>
            </w:r>
          </w:p>
          <w:p w14:paraId="5FB01EBE" w14:textId="77777777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39" w:type="dxa"/>
            <w:vMerge w:val="restart"/>
            <w:vAlign w:val="center"/>
          </w:tcPr>
          <w:p w14:paraId="02984993" w14:textId="67DE5C41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  <w:r w:rsidRPr="001B66BF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  <w:tc>
          <w:tcPr>
            <w:tcW w:w="2940" w:type="dxa"/>
            <w:vMerge w:val="restart"/>
            <w:vAlign w:val="center"/>
          </w:tcPr>
          <w:p w14:paraId="274B4B1F" w14:textId="58861E6D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  <w:r w:rsidRPr="001B66BF">
              <w:rPr>
                <w:rFonts w:ascii="Century Gothic" w:hAnsi="Century Gothic" w:cs="Tahoma"/>
                <w:kern w:val="0"/>
                <w:sz w:val="24"/>
                <w:szCs w:val="24"/>
              </w:rPr>
              <w:t>Mi familia es mi gran equipo.</w:t>
            </w:r>
          </w:p>
        </w:tc>
        <w:tc>
          <w:tcPr>
            <w:tcW w:w="3846" w:type="dxa"/>
            <w:vMerge w:val="restart"/>
            <w:vAlign w:val="center"/>
          </w:tcPr>
          <w:p w14:paraId="0E8D9904" w14:textId="2C4A1C42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  <w:r w:rsidRPr="001B66BF">
              <w:rPr>
                <w:rFonts w:ascii="Century Gothic" w:hAnsi="Century Gothic" w:cs="Tahoma"/>
                <w:kern w:val="0"/>
                <w:sz w:val="24"/>
                <w:szCs w:val="24"/>
              </w:rPr>
              <w:t>Reconocer la importancia de la familia para fortalecer el sentido de pertenencia y de autonomía. También organizar una exposición y participar en una plática de retroalimentación en familia.</w:t>
            </w:r>
          </w:p>
        </w:tc>
      </w:tr>
      <w:tr w:rsidR="001B66BF" w:rsidRPr="001B66BF" w14:paraId="76D39DC2" w14:textId="77777777" w:rsidTr="007B7E32">
        <w:tc>
          <w:tcPr>
            <w:tcW w:w="3114" w:type="dxa"/>
            <w:vMerge/>
            <w:vAlign w:val="center"/>
          </w:tcPr>
          <w:p w14:paraId="0929B9B6" w14:textId="77777777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51" w:type="dxa"/>
            <w:vAlign w:val="center"/>
          </w:tcPr>
          <w:p w14:paraId="153B4095" w14:textId="77777777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  <w:r w:rsidRPr="001B66BF">
              <w:rPr>
                <w:rFonts w:ascii="Century Gothic" w:hAnsi="Century Gothic"/>
              </w:rPr>
              <w:t>Pensamiento crítico</w:t>
            </w:r>
          </w:p>
          <w:p w14:paraId="20C62A2D" w14:textId="77777777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39" w:type="dxa"/>
            <w:vMerge/>
            <w:vAlign w:val="center"/>
          </w:tcPr>
          <w:p w14:paraId="6D4CB685" w14:textId="77777777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40" w:type="dxa"/>
            <w:vMerge/>
            <w:vAlign w:val="center"/>
          </w:tcPr>
          <w:p w14:paraId="3302F2AB" w14:textId="77777777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846" w:type="dxa"/>
            <w:vMerge/>
            <w:vAlign w:val="center"/>
          </w:tcPr>
          <w:p w14:paraId="132468C2" w14:textId="77777777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7B339621" w14:textId="77777777" w:rsidR="001B66BF" w:rsidRPr="001B66BF" w:rsidRDefault="001B66BF" w:rsidP="005B6880">
      <w:pPr>
        <w:jc w:val="center"/>
        <w:rPr>
          <w:rFonts w:ascii="Century Gothic" w:hAnsi="Century Gothic"/>
        </w:rPr>
      </w:pPr>
    </w:p>
    <w:p w14:paraId="0DE74A04" w14:textId="77777777" w:rsidR="001B66BF" w:rsidRPr="001B66BF" w:rsidRDefault="001B66BF" w:rsidP="005B6880">
      <w:pPr>
        <w:jc w:val="center"/>
        <w:rPr>
          <w:rFonts w:ascii="Century Gothic" w:hAnsi="Century Gothic"/>
        </w:rPr>
      </w:pPr>
    </w:p>
    <w:p w14:paraId="4E1D28E1" w14:textId="77777777" w:rsidR="001B66BF" w:rsidRPr="001B66BF" w:rsidRDefault="001B66BF" w:rsidP="005B6880">
      <w:pPr>
        <w:jc w:val="center"/>
        <w:rPr>
          <w:rFonts w:ascii="Century Gothic" w:hAnsi="Century Gothic"/>
        </w:rPr>
      </w:pPr>
    </w:p>
    <w:p w14:paraId="1667E6CE" w14:textId="77777777" w:rsidR="001B66BF" w:rsidRPr="001B66BF" w:rsidRDefault="001B66BF" w:rsidP="005B6880">
      <w:pPr>
        <w:jc w:val="center"/>
        <w:rPr>
          <w:rFonts w:ascii="Century Gothic" w:hAnsi="Century Gothic"/>
        </w:rPr>
      </w:pPr>
    </w:p>
    <w:p w14:paraId="595EDEB2" w14:textId="77777777" w:rsidR="001B66BF" w:rsidRPr="001B66BF" w:rsidRDefault="001B66BF" w:rsidP="005B6880">
      <w:pPr>
        <w:jc w:val="center"/>
        <w:rPr>
          <w:rFonts w:ascii="Century Gothic" w:hAnsi="Century Gothic"/>
        </w:rPr>
      </w:pPr>
    </w:p>
    <w:p w14:paraId="3199364F" w14:textId="77777777" w:rsidR="001B66BF" w:rsidRPr="001B66BF" w:rsidRDefault="001B66BF" w:rsidP="005B6880">
      <w:pPr>
        <w:jc w:val="center"/>
        <w:rPr>
          <w:rFonts w:ascii="Century Gothic" w:hAnsi="Century Gothic"/>
        </w:rPr>
      </w:pPr>
    </w:p>
    <w:p w14:paraId="71130777" w14:textId="77777777" w:rsidR="001B66BF" w:rsidRPr="001B66BF" w:rsidRDefault="001B66BF" w:rsidP="005B6880">
      <w:pPr>
        <w:jc w:val="center"/>
        <w:rPr>
          <w:rFonts w:ascii="Century Gothic" w:hAnsi="Century Gothic"/>
        </w:rPr>
      </w:pPr>
    </w:p>
    <w:p w14:paraId="11A94683" w14:textId="77777777" w:rsidR="001B66BF" w:rsidRPr="001B66BF" w:rsidRDefault="001B66BF" w:rsidP="005B6880">
      <w:pPr>
        <w:jc w:val="center"/>
        <w:rPr>
          <w:rFonts w:ascii="Century Gothic" w:hAnsi="Century Gothic"/>
        </w:rPr>
      </w:pPr>
    </w:p>
    <w:p w14:paraId="53612795" w14:textId="77777777" w:rsidR="001B66BF" w:rsidRPr="001B66BF" w:rsidRDefault="001B66BF" w:rsidP="005B6880">
      <w:pPr>
        <w:jc w:val="center"/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1B66BF" w:rsidRPr="001B66BF" w14:paraId="74E86125" w14:textId="77777777" w:rsidTr="007B7E32">
        <w:tc>
          <w:tcPr>
            <w:tcW w:w="14390" w:type="dxa"/>
            <w:gridSpan w:val="5"/>
            <w:shd w:val="clear" w:color="auto" w:fill="FF8F8F"/>
            <w:vAlign w:val="center"/>
          </w:tcPr>
          <w:p w14:paraId="68FE0A92" w14:textId="0CCDE268" w:rsidR="001B66BF" w:rsidRPr="001B66BF" w:rsidRDefault="001B66BF" w:rsidP="005B6880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1B66BF">
              <w:rPr>
                <w:rFonts w:ascii="Century Gothic" w:hAnsi="Century Gothic" w:cs="Tahoma"/>
                <w:b/>
                <w:bCs/>
                <w:sz w:val="24"/>
                <w:szCs w:val="24"/>
              </w:rPr>
              <w:t>El cuerpo y sus cuidados</w:t>
            </w:r>
          </w:p>
        </w:tc>
      </w:tr>
      <w:tr w:rsidR="001B66BF" w:rsidRPr="001B66BF" w14:paraId="39AF3E0B" w14:textId="77777777" w:rsidTr="007B7E32">
        <w:tc>
          <w:tcPr>
            <w:tcW w:w="3114" w:type="dxa"/>
            <w:shd w:val="clear" w:color="auto" w:fill="FFD1D1"/>
            <w:vAlign w:val="center"/>
          </w:tcPr>
          <w:p w14:paraId="11E3CE0B" w14:textId="77777777" w:rsidR="001B66BF" w:rsidRPr="001B66BF" w:rsidRDefault="001B66BF" w:rsidP="005B6880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1B66BF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FFD1D1"/>
            <w:vAlign w:val="center"/>
          </w:tcPr>
          <w:p w14:paraId="6B642A60" w14:textId="77777777" w:rsidR="001B66BF" w:rsidRPr="001B66BF" w:rsidRDefault="001B66BF" w:rsidP="005B6880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1B66BF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FFD1D1"/>
            <w:vAlign w:val="center"/>
          </w:tcPr>
          <w:p w14:paraId="7CBA8F6B" w14:textId="77777777" w:rsidR="001B66BF" w:rsidRPr="001B66BF" w:rsidRDefault="001B66BF" w:rsidP="005B6880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1B66BF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FFD1D1"/>
            <w:vAlign w:val="center"/>
          </w:tcPr>
          <w:p w14:paraId="1C1D0777" w14:textId="77777777" w:rsidR="001B66BF" w:rsidRPr="001B66BF" w:rsidRDefault="001B66BF" w:rsidP="005B6880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1B66BF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FFD1D1"/>
            <w:vAlign w:val="center"/>
          </w:tcPr>
          <w:p w14:paraId="20B422FE" w14:textId="77777777" w:rsidR="001B66BF" w:rsidRPr="001B66BF" w:rsidRDefault="001B66BF" w:rsidP="005B6880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1B66BF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1B66BF" w:rsidRPr="001B66BF" w14:paraId="42C872A4" w14:textId="77777777" w:rsidTr="007B7E32">
        <w:tc>
          <w:tcPr>
            <w:tcW w:w="3114" w:type="dxa"/>
            <w:vMerge w:val="restart"/>
            <w:vAlign w:val="center"/>
          </w:tcPr>
          <w:p w14:paraId="12EC08AF" w14:textId="5CDB01DB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  <w:r w:rsidRPr="001B66BF">
              <w:rPr>
                <w:rFonts w:ascii="Century Gothic" w:hAnsi="Century Gothic"/>
              </w:rPr>
              <w:t>SABERES Y PENSAMIENTO CIENTIFICO</w:t>
            </w:r>
          </w:p>
        </w:tc>
        <w:tc>
          <w:tcPr>
            <w:tcW w:w="3051" w:type="dxa"/>
            <w:vAlign w:val="center"/>
          </w:tcPr>
          <w:p w14:paraId="2A8F2F18" w14:textId="77777777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  <w:r w:rsidRPr="001B66BF">
              <w:rPr>
                <w:rFonts w:ascii="Century Gothic" w:hAnsi="Century Gothic"/>
              </w:rPr>
              <w:t>Inclusión</w:t>
            </w:r>
          </w:p>
          <w:p w14:paraId="0415EF81" w14:textId="77777777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39" w:type="dxa"/>
            <w:vMerge w:val="restart"/>
            <w:vAlign w:val="center"/>
          </w:tcPr>
          <w:p w14:paraId="5891D7BE" w14:textId="09F8756C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  <w:r w:rsidRPr="001B66BF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  <w:tc>
          <w:tcPr>
            <w:tcW w:w="2940" w:type="dxa"/>
            <w:vMerge w:val="restart"/>
            <w:vAlign w:val="center"/>
          </w:tcPr>
          <w:p w14:paraId="6E0E707C" w14:textId="1BBD6609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  <w:r w:rsidRPr="001B66BF">
              <w:rPr>
                <w:rFonts w:ascii="Century Gothic" w:hAnsi="Century Gothic" w:cs="Tahoma"/>
                <w:kern w:val="0"/>
                <w:sz w:val="24"/>
                <w:szCs w:val="24"/>
              </w:rPr>
              <w:t>Salud sexual y reproductiva.</w:t>
            </w:r>
          </w:p>
        </w:tc>
        <w:tc>
          <w:tcPr>
            <w:tcW w:w="3846" w:type="dxa"/>
            <w:vMerge w:val="restart"/>
            <w:vAlign w:val="center"/>
          </w:tcPr>
          <w:p w14:paraId="3AFE246E" w14:textId="4C003648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  <w:r w:rsidRPr="001B66BF">
              <w:rPr>
                <w:rFonts w:ascii="Century Gothic" w:hAnsi="Century Gothic" w:cs="Tahoma"/>
                <w:kern w:val="0"/>
                <w:sz w:val="24"/>
                <w:szCs w:val="24"/>
              </w:rPr>
              <w:t>Mediante la observación y el análisis de datos, identificar y responder las dudas que hay sobre los factores de riesgo implicados en las prácticas sexuales. Todo esto les servirá en la toma de decisiones encaminadas a la prevención de embarazos adolescentes y de infecciones de transmisión sexual (its). También, construir una toalla sanitaria que será útil en la higiene sexual.</w:t>
            </w:r>
          </w:p>
        </w:tc>
      </w:tr>
      <w:tr w:rsidR="001B66BF" w:rsidRPr="001B66BF" w14:paraId="1826BBA4" w14:textId="77777777" w:rsidTr="007B7E32">
        <w:tc>
          <w:tcPr>
            <w:tcW w:w="3114" w:type="dxa"/>
            <w:vMerge/>
            <w:vAlign w:val="center"/>
          </w:tcPr>
          <w:p w14:paraId="1EE2DFE3" w14:textId="77777777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51" w:type="dxa"/>
            <w:vAlign w:val="center"/>
          </w:tcPr>
          <w:p w14:paraId="446633E3" w14:textId="77777777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  <w:r w:rsidRPr="001B66BF">
              <w:rPr>
                <w:rFonts w:ascii="Century Gothic" w:hAnsi="Century Gothic"/>
              </w:rPr>
              <w:t>Pensamiento crítico</w:t>
            </w:r>
          </w:p>
          <w:p w14:paraId="00B3C6EF" w14:textId="77777777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39" w:type="dxa"/>
            <w:vMerge/>
            <w:vAlign w:val="center"/>
          </w:tcPr>
          <w:p w14:paraId="0BE36C89" w14:textId="77777777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40" w:type="dxa"/>
            <w:vMerge/>
            <w:vAlign w:val="center"/>
          </w:tcPr>
          <w:p w14:paraId="2EC76F9B" w14:textId="77777777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846" w:type="dxa"/>
            <w:vMerge/>
            <w:vAlign w:val="center"/>
          </w:tcPr>
          <w:p w14:paraId="34115641" w14:textId="77777777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</w:p>
        </w:tc>
      </w:tr>
      <w:tr w:rsidR="001B66BF" w:rsidRPr="001B66BF" w14:paraId="48E4FB4C" w14:textId="77777777" w:rsidTr="007B7E32">
        <w:tc>
          <w:tcPr>
            <w:tcW w:w="3114" w:type="dxa"/>
            <w:vMerge/>
            <w:vAlign w:val="center"/>
          </w:tcPr>
          <w:p w14:paraId="20F9515E" w14:textId="77777777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51" w:type="dxa"/>
            <w:vAlign w:val="center"/>
          </w:tcPr>
          <w:p w14:paraId="57691343" w14:textId="77777777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  <w:r w:rsidRPr="001B66BF">
              <w:rPr>
                <w:rFonts w:ascii="Century Gothic" w:hAnsi="Century Gothic"/>
              </w:rPr>
              <w:t>Igualdad de género</w:t>
            </w:r>
          </w:p>
          <w:p w14:paraId="17B3499F" w14:textId="77777777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39" w:type="dxa"/>
            <w:vMerge/>
            <w:vAlign w:val="center"/>
          </w:tcPr>
          <w:p w14:paraId="541C1903" w14:textId="77777777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40" w:type="dxa"/>
            <w:vMerge/>
            <w:vAlign w:val="center"/>
          </w:tcPr>
          <w:p w14:paraId="54F86BC8" w14:textId="77777777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846" w:type="dxa"/>
            <w:vMerge/>
            <w:vAlign w:val="center"/>
          </w:tcPr>
          <w:p w14:paraId="594BB82A" w14:textId="77777777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</w:p>
        </w:tc>
      </w:tr>
      <w:tr w:rsidR="001B66BF" w:rsidRPr="001B66BF" w14:paraId="37DF0BFB" w14:textId="77777777" w:rsidTr="007B7E32">
        <w:tc>
          <w:tcPr>
            <w:tcW w:w="3114" w:type="dxa"/>
            <w:vMerge/>
            <w:vAlign w:val="center"/>
          </w:tcPr>
          <w:p w14:paraId="13897CDC" w14:textId="77777777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51" w:type="dxa"/>
            <w:vAlign w:val="center"/>
          </w:tcPr>
          <w:p w14:paraId="1C87CD21" w14:textId="5A199676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  <w:r w:rsidRPr="001B66BF">
              <w:rPr>
                <w:rFonts w:ascii="Century Gothic" w:hAnsi="Century Gothic"/>
              </w:rPr>
              <w:t>Vida saludable</w:t>
            </w:r>
          </w:p>
        </w:tc>
        <w:tc>
          <w:tcPr>
            <w:tcW w:w="1439" w:type="dxa"/>
            <w:vMerge/>
            <w:vAlign w:val="center"/>
          </w:tcPr>
          <w:p w14:paraId="20D53039" w14:textId="77777777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40" w:type="dxa"/>
            <w:vMerge/>
            <w:vAlign w:val="center"/>
          </w:tcPr>
          <w:p w14:paraId="2DA7CE41" w14:textId="77777777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846" w:type="dxa"/>
            <w:vMerge/>
            <w:vAlign w:val="center"/>
          </w:tcPr>
          <w:p w14:paraId="19A05B66" w14:textId="77777777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11724CEE" w14:textId="77777777" w:rsidR="001B66BF" w:rsidRPr="001B66BF" w:rsidRDefault="001B66BF" w:rsidP="005B6880">
      <w:pPr>
        <w:jc w:val="center"/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057"/>
        <w:gridCol w:w="3013"/>
        <w:gridCol w:w="1657"/>
        <w:gridCol w:w="2894"/>
        <w:gridCol w:w="3769"/>
      </w:tblGrid>
      <w:tr w:rsidR="001B66BF" w:rsidRPr="001B66BF" w14:paraId="6CC0031D" w14:textId="77777777" w:rsidTr="007B7E32">
        <w:tc>
          <w:tcPr>
            <w:tcW w:w="14390" w:type="dxa"/>
            <w:gridSpan w:val="5"/>
            <w:shd w:val="clear" w:color="auto" w:fill="FF8F8F"/>
            <w:vAlign w:val="center"/>
          </w:tcPr>
          <w:p w14:paraId="5768DBAB" w14:textId="4EF90C99" w:rsidR="001B66BF" w:rsidRPr="001B66BF" w:rsidRDefault="001B66BF" w:rsidP="005B6880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1B66BF">
              <w:rPr>
                <w:rFonts w:ascii="Century Gothic" w:hAnsi="Century Gothic" w:cs="Tahoma"/>
                <w:b/>
                <w:bCs/>
                <w:sz w:val="24"/>
                <w:szCs w:val="24"/>
              </w:rPr>
              <w:t>Sentido de pertenencia: la comunidad</w:t>
            </w:r>
          </w:p>
        </w:tc>
      </w:tr>
      <w:tr w:rsidR="001B66BF" w:rsidRPr="001B66BF" w14:paraId="01573C3A" w14:textId="77777777" w:rsidTr="007B7E32">
        <w:tc>
          <w:tcPr>
            <w:tcW w:w="3114" w:type="dxa"/>
            <w:shd w:val="clear" w:color="auto" w:fill="FFD1D1"/>
            <w:vAlign w:val="center"/>
          </w:tcPr>
          <w:p w14:paraId="1D446121" w14:textId="77777777" w:rsidR="001B66BF" w:rsidRPr="001B66BF" w:rsidRDefault="001B66BF" w:rsidP="005B6880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1B66BF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FFD1D1"/>
            <w:vAlign w:val="center"/>
          </w:tcPr>
          <w:p w14:paraId="634EF08C" w14:textId="77777777" w:rsidR="001B66BF" w:rsidRPr="001B66BF" w:rsidRDefault="001B66BF" w:rsidP="005B6880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1B66BF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FFD1D1"/>
            <w:vAlign w:val="center"/>
          </w:tcPr>
          <w:p w14:paraId="666F2896" w14:textId="77777777" w:rsidR="001B66BF" w:rsidRPr="001B66BF" w:rsidRDefault="001B66BF" w:rsidP="005B6880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1B66BF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FFD1D1"/>
            <w:vAlign w:val="center"/>
          </w:tcPr>
          <w:p w14:paraId="5174FAC0" w14:textId="77777777" w:rsidR="001B66BF" w:rsidRPr="001B66BF" w:rsidRDefault="001B66BF" w:rsidP="005B6880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1B66BF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FFD1D1"/>
            <w:vAlign w:val="center"/>
          </w:tcPr>
          <w:p w14:paraId="0FC4860C" w14:textId="77777777" w:rsidR="001B66BF" w:rsidRPr="001B66BF" w:rsidRDefault="001B66BF" w:rsidP="005B6880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1B66BF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1B66BF" w:rsidRPr="001B66BF" w14:paraId="4D71620E" w14:textId="77777777" w:rsidTr="007B7E32">
        <w:tc>
          <w:tcPr>
            <w:tcW w:w="3114" w:type="dxa"/>
            <w:vMerge w:val="restart"/>
            <w:vAlign w:val="center"/>
          </w:tcPr>
          <w:p w14:paraId="0AAE2396" w14:textId="743C7F1F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  <w:r w:rsidRPr="001B66BF">
              <w:rPr>
                <w:rFonts w:ascii="Century Gothic" w:hAnsi="Century Gothic"/>
              </w:rPr>
              <w:t>LENGUAJES</w:t>
            </w:r>
          </w:p>
        </w:tc>
        <w:tc>
          <w:tcPr>
            <w:tcW w:w="3051" w:type="dxa"/>
            <w:vAlign w:val="center"/>
          </w:tcPr>
          <w:p w14:paraId="5A952551" w14:textId="58E322EC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  <w:r w:rsidRPr="001B66BF">
              <w:rPr>
                <w:rFonts w:ascii="Century Gothic" w:hAnsi="Century Gothic"/>
              </w:rPr>
              <w:t>Interculturalidad critica</w:t>
            </w:r>
          </w:p>
          <w:p w14:paraId="5597F2E8" w14:textId="77777777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39" w:type="dxa"/>
            <w:vMerge w:val="restart"/>
            <w:vAlign w:val="center"/>
          </w:tcPr>
          <w:p w14:paraId="414E8336" w14:textId="4182436F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  <w:r w:rsidRPr="001B66BF">
              <w:rPr>
                <w:rFonts w:ascii="Century Gothic" w:hAnsi="Century Gothic" w:cs="Tahoma"/>
                <w:sz w:val="24"/>
                <w:szCs w:val="24"/>
              </w:rPr>
              <w:t>Comunitario</w:t>
            </w:r>
          </w:p>
        </w:tc>
        <w:tc>
          <w:tcPr>
            <w:tcW w:w="2940" w:type="dxa"/>
            <w:vMerge w:val="restart"/>
            <w:vAlign w:val="center"/>
          </w:tcPr>
          <w:p w14:paraId="7C0C975D" w14:textId="3D61DA48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  <w:r w:rsidRPr="001B66BF">
              <w:rPr>
                <w:rFonts w:ascii="Century Gothic" w:hAnsi="Century Gothic" w:cs="Tahoma"/>
                <w:kern w:val="0"/>
                <w:sz w:val="24"/>
                <w:szCs w:val="24"/>
              </w:rPr>
              <w:t>¡Reseñemos nuestra escuela en una galería!</w:t>
            </w:r>
          </w:p>
        </w:tc>
        <w:tc>
          <w:tcPr>
            <w:tcW w:w="3846" w:type="dxa"/>
            <w:vMerge w:val="restart"/>
            <w:vAlign w:val="center"/>
          </w:tcPr>
          <w:p w14:paraId="0A17C872" w14:textId="6DFFD7A4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  <w:r w:rsidRPr="001B66BF">
              <w:rPr>
                <w:rFonts w:ascii="Century Gothic" w:hAnsi="Century Gothic" w:cs="Tahoma"/>
                <w:kern w:val="0"/>
                <w:sz w:val="24"/>
                <w:szCs w:val="24"/>
              </w:rPr>
              <w:t>Conocer sobre la importancia de recuperar la identidad y los saberes de la historia de los lugares donde estudiaron sus familiares, amigos y ellos mismos.</w:t>
            </w:r>
          </w:p>
        </w:tc>
      </w:tr>
      <w:tr w:rsidR="001B66BF" w:rsidRPr="001B66BF" w14:paraId="0C07AFEF" w14:textId="77777777" w:rsidTr="007B7E32">
        <w:tc>
          <w:tcPr>
            <w:tcW w:w="3114" w:type="dxa"/>
            <w:vMerge/>
            <w:vAlign w:val="center"/>
          </w:tcPr>
          <w:p w14:paraId="11CB861C" w14:textId="77777777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51" w:type="dxa"/>
            <w:vAlign w:val="center"/>
          </w:tcPr>
          <w:p w14:paraId="4E89A547" w14:textId="1CBFABF3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  <w:r w:rsidRPr="001B66BF">
              <w:rPr>
                <w:rFonts w:ascii="Century Gothic" w:hAnsi="Century Gothic"/>
              </w:rPr>
              <w:t>Apropiación de las culturas a través de la lectura y la escritura</w:t>
            </w:r>
          </w:p>
          <w:p w14:paraId="47E49D8A" w14:textId="77777777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39" w:type="dxa"/>
            <w:vMerge/>
            <w:vAlign w:val="center"/>
          </w:tcPr>
          <w:p w14:paraId="287C87E8" w14:textId="77777777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40" w:type="dxa"/>
            <w:vMerge/>
            <w:vAlign w:val="center"/>
          </w:tcPr>
          <w:p w14:paraId="4C76A1C7" w14:textId="77777777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846" w:type="dxa"/>
            <w:vMerge/>
            <w:vAlign w:val="center"/>
          </w:tcPr>
          <w:p w14:paraId="7E29289B" w14:textId="77777777" w:rsidR="001B66BF" w:rsidRPr="001B66BF" w:rsidRDefault="001B66BF" w:rsidP="005B6880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4B09F0D4" w14:textId="77777777" w:rsidR="001B66BF" w:rsidRPr="001B66BF" w:rsidRDefault="001B66BF" w:rsidP="005B6880">
      <w:pPr>
        <w:jc w:val="center"/>
        <w:rPr>
          <w:rFonts w:ascii="Century Gothic" w:hAnsi="Century Gothic"/>
        </w:rPr>
      </w:pPr>
    </w:p>
    <w:sectPr w:rsidR="001B66BF" w:rsidRPr="001B66BF" w:rsidSect="0057190F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B44CA" w14:textId="77777777" w:rsidR="0057190F" w:rsidRDefault="0057190F" w:rsidP="00C825A1">
      <w:pPr>
        <w:spacing w:after="0" w:line="240" w:lineRule="auto"/>
      </w:pPr>
      <w:r>
        <w:separator/>
      </w:r>
    </w:p>
  </w:endnote>
  <w:endnote w:type="continuationSeparator" w:id="0">
    <w:p w14:paraId="65BD10FF" w14:textId="77777777" w:rsidR="0057190F" w:rsidRDefault="0057190F" w:rsidP="00C82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7B4C1" w14:textId="77777777" w:rsidR="0057190F" w:rsidRDefault="0057190F" w:rsidP="00C825A1">
      <w:pPr>
        <w:spacing w:after="0" w:line="240" w:lineRule="auto"/>
      </w:pPr>
      <w:r>
        <w:separator/>
      </w:r>
    </w:p>
  </w:footnote>
  <w:footnote w:type="continuationSeparator" w:id="0">
    <w:p w14:paraId="0E5A4B66" w14:textId="77777777" w:rsidR="0057190F" w:rsidRDefault="0057190F" w:rsidP="00C82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5B861" w14:textId="0DA4F84B" w:rsidR="00C825A1" w:rsidRPr="00C825A1" w:rsidRDefault="00C825A1" w:rsidP="00C825A1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97586E9" wp14:editId="202070DE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1229032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113749"/>
    <w:rsid w:val="001B66BF"/>
    <w:rsid w:val="002F59BC"/>
    <w:rsid w:val="004104AA"/>
    <w:rsid w:val="004A5788"/>
    <w:rsid w:val="0057190F"/>
    <w:rsid w:val="005B6880"/>
    <w:rsid w:val="007C594A"/>
    <w:rsid w:val="009A5BC5"/>
    <w:rsid w:val="00AD1658"/>
    <w:rsid w:val="00B474F4"/>
    <w:rsid w:val="00B51E4C"/>
    <w:rsid w:val="00C65812"/>
    <w:rsid w:val="00C825A1"/>
    <w:rsid w:val="00C8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2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5A1"/>
  </w:style>
  <w:style w:type="paragraph" w:styleId="Piedepgina">
    <w:name w:val="footer"/>
    <w:basedOn w:val="Normal"/>
    <w:link w:val="PiedepginaCar"/>
    <w:uiPriority w:val="99"/>
    <w:unhideWhenUsed/>
    <w:rsid w:val="00C82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3</cp:revision>
  <dcterms:created xsi:type="dcterms:W3CDTF">2023-08-21T19:57:00Z</dcterms:created>
  <dcterms:modified xsi:type="dcterms:W3CDTF">2024-04-07T02:49:00Z</dcterms:modified>
  <cp:category>www.DidacticosMx.com</cp:category>
</cp:coreProperties>
</file>