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869D3" w14:textId="77777777" w:rsidR="0007618B" w:rsidRDefault="0007618B" w:rsidP="0007618B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PROYECTOS DEL PERIODO 15:</w:t>
      </w:r>
    </w:p>
    <w:p w14:paraId="1C708285" w14:textId="77777777" w:rsidR="0007618B" w:rsidRDefault="0007618B" w:rsidP="0007618B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PERIODO 15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234BEB01" w14:textId="77777777" w:rsidR="0007618B" w:rsidRDefault="0007618B" w:rsidP="0007618B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3283522A" w14:textId="77777777" w:rsidR="0007618B" w:rsidRDefault="0007618B" w:rsidP="0007618B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300A1DDD" w14:textId="72F3F610" w:rsidR="0007618B" w:rsidRDefault="0007618B" w:rsidP="0007618B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color w:val="0D0D0D" w:themeColor="text1" w:themeTint="F2"/>
          <w:kern w:val="0"/>
          <w:sz w:val="36"/>
          <w:szCs w:val="36"/>
          <w14:ligatures w14:val="none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kern w:val="0"/>
          <w:sz w:val="36"/>
          <w:szCs w:val="36"/>
          <w14:ligatures w14:val="none"/>
        </w:rPr>
        <w:t>PERIODO 15</w:t>
      </w:r>
      <w:r>
        <w:rPr>
          <w:rFonts w:ascii="Century Gothic" w:hAnsi="Century Gothic"/>
          <w:color w:val="0D0D0D" w:themeColor="text1" w:themeTint="F2"/>
          <w:kern w:val="0"/>
          <w:sz w:val="36"/>
          <w:szCs w:val="36"/>
          <w14:ligatures w14:val="none"/>
        </w:rPr>
        <w:t xml:space="preserve"> incluye 3 proyectos didácticos.</w:t>
      </w: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36492B2D" w:rsidR="00AD1658" w:rsidRDefault="000811FC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5to Grado</w:t>
      </w:r>
    </w:p>
    <w:p w14:paraId="17C42AB9" w14:textId="0A74C6BC" w:rsidR="00810595" w:rsidRPr="000811FC" w:rsidRDefault="00810595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3043"/>
        <w:gridCol w:w="2991"/>
        <w:gridCol w:w="1723"/>
        <w:gridCol w:w="2161"/>
        <w:gridCol w:w="4472"/>
      </w:tblGrid>
      <w:tr w:rsidR="00AD1658" w:rsidRPr="0092726B" w14:paraId="51312299" w14:textId="77777777" w:rsidTr="00CD5FC1">
        <w:tc>
          <w:tcPr>
            <w:tcW w:w="14390" w:type="dxa"/>
            <w:gridSpan w:val="5"/>
            <w:shd w:val="clear" w:color="auto" w:fill="FFDFAF"/>
            <w:vAlign w:val="center"/>
          </w:tcPr>
          <w:p w14:paraId="7345A0A7" w14:textId="2FE12B30" w:rsidR="00AD1658" w:rsidRPr="0092726B" w:rsidRDefault="00810595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2726B">
              <w:rPr>
                <w:rFonts w:ascii="Century Gothic" w:hAnsi="Century Gothic"/>
                <w:b/>
                <w:bCs/>
                <w:sz w:val="24"/>
                <w:szCs w:val="24"/>
              </w:rPr>
              <w:t>DOSIFICACIÓN</w:t>
            </w:r>
          </w:p>
        </w:tc>
      </w:tr>
      <w:tr w:rsidR="00AD1658" w:rsidRPr="0092726B" w14:paraId="0ED89697" w14:textId="77777777" w:rsidTr="0092726B">
        <w:tc>
          <w:tcPr>
            <w:tcW w:w="3043" w:type="dxa"/>
            <w:shd w:val="clear" w:color="auto" w:fill="FFEED5"/>
            <w:vAlign w:val="center"/>
          </w:tcPr>
          <w:p w14:paraId="2010CF81" w14:textId="0E05CB10" w:rsidR="00AD1658" w:rsidRPr="0092726B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2726B">
              <w:rPr>
                <w:rFonts w:ascii="Century Gothic" w:hAnsi="Century Gothic"/>
                <w:b/>
                <w:bCs/>
                <w:sz w:val="24"/>
                <w:szCs w:val="24"/>
              </w:rPr>
              <w:t>Campo Formativo</w:t>
            </w:r>
          </w:p>
        </w:tc>
        <w:tc>
          <w:tcPr>
            <w:tcW w:w="2991" w:type="dxa"/>
            <w:shd w:val="clear" w:color="auto" w:fill="FFEED5"/>
            <w:vAlign w:val="center"/>
          </w:tcPr>
          <w:p w14:paraId="3FF55929" w14:textId="2775533F" w:rsidR="00AD1658" w:rsidRPr="0092726B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2726B">
              <w:rPr>
                <w:rFonts w:ascii="Century Gothic" w:hAnsi="Century Gothic"/>
                <w:b/>
                <w:bCs/>
                <w:sz w:val="24"/>
                <w:szCs w:val="24"/>
              </w:rPr>
              <w:t>Ejes articuladores</w:t>
            </w:r>
          </w:p>
        </w:tc>
        <w:tc>
          <w:tcPr>
            <w:tcW w:w="1723" w:type="dxa"/>
            <w:shd w:val="clear" w:color="auto" w:fill="FFEED5"/>
            <w:vAlign w:val="center"/>
          </w:tcPr>
          <w:p w14:paraId="426A56CE" w14:textId="6F50816E" w:rsidR="00AD1658" w:rsidRPr="0092726B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2726B">
              <w:rPr>
                <w:rFonts w:ascii="Century Gothic" w:hAnsi="Century Gothic"/>
                <w:b/>
                <w:bCs/>
                <w:sz w:val="24"/>
                <w:szCs w:val="24"/>
              </w:rPr>
              <w:t>Escenario</w:t>
            </w:r>
          </w:p>
        </w:tc>
        <w:tc>
          <w:tcPr>
            <w:tcW w:w="2161" w:type="dxa"/>
            <w:shd w:val="clear" w:color="auto" w:fill="FFEED5"/>
            <w:vAlign w:val="center"/>
          </w:tcPr>
          <w:p w14:paraId="0490FFAC" w14:textId="4AF7C1E6" w:rsidR="00AD1658" w:rsidRPr="0092726B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2726B">
              <w:rPr>
                <w:rFonts w:ascii="Century Gothic" w:hAnsi="Century Gothic"/>
                <w:b/>
                <w:bCs/>
                <w:sz w:val="24"/>
                <w:szCs w:val="24"/>
              </w:rPr>
              <w:t>Nombre del proyecto</w:t>
            </w:r>
          </w:p>
        </w:tc>
        <w:tc>
          <w:tcPr>
            <w:tcW w:w="4472" w:type="dxa"/>
            <w:shd w:val="clear" w:color="auto" w:fill="FFEED5"/>
            <w:vAlign w:val="center"/>
          </w:tcPr>
          <w:p w14:paraId="49AD0D00" w14:textId="0DD44579" w:rsidR="00AD1658" w:rsidRPr="0092726B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2726B">
              <w:rPr>
                <w:rFonts w:ascii="Century Gothic" w:hAnsi="Century Gothic"/>
                <w:b/>
                <w:bCs/>
                <w:sz w:val="24"/>
                <w:szCs w:val="24"/>
              </w:rPr>
              <w:t>Propósito</w:t>
            </w:r>
          </w:p>
        </w:tc>
      </w:tr>
      <w:tr w:rsidR="0092726B" w:rsidRPr="0092726B" w14:paraId="3E0896F7" w14:textId="77777777" w:rsidTr="0092726B">
        <w:tc>
          <w:tcPr>
            <w:tcW w:w="3043" w:type="dxa"/>
            <w:vAlign w:val="center"/>
          </w:tcPr>
          <w:p w14:paraId="2615CD50" w14:textId="3BB142F5" w:rsidR="0092726B" w:rsidRPr="0092726B" w:rsidRDefault="0092726B" w:rsidP="0092726B">
            <w:pPr>
              <w:rPr>
                <w:rFonts w:ascii="Century Gothic" w:hAnsi="Century Gothic"/>
                <w:sz w:val="24"/>
                <w:szCs w:val="24"/>
              </w:rPr>
            </w:pPr>
            <w:r w:rsidRPr="0092726B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2991" w:type="dxa"/>
            <w:vAlign w:val="center"/>
          </w:tcPr>
          <w:p w14:paraId="22A2B766" w14:textId="77777777" w:rsidR="0092726B" w:rsidRPr="0092726B" w:rsidRDefault="0092726B" w:rsidP="0092726B">
            <w:pPr>
              <w:rPr>
                <w:rFonts w:ascii="Century Gothic" w:hAnsi="Century Gothic"/>
                <w:sz w:val="24"/>
                <w:szCs w:val="24"/>
              </w:rPr>
            </w:pPr>
            <w:r w:rsidRPr="0092726B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576280BF" w14:textId="77777777" w:rsidR="0092726B" w:rsidRPr="0092726B" w:rsidRDefault="0092726B" w:rsidP="0092726B">
            <w:pPr>
              <w:rPr>
                <w:rFonts w:ascii="Century Gothic" w:hAnsi="Century Gothic"/>
                <w:sz w:val="24"/>
                <w:szCs w:val="24"/>
              </w:rPr>
            </w:pPr>
            <w:r w:rsidRPr="0092726B">
              <w:rPr>
                <w:rFonts w:ascii="Century Gothic" w:hAnsi="Century Gothic"/>
                <w:sz w:val="24"/>
                <w:szCs w:val="24"/>
              </w:rPr>
              <w:t>Igualdad de género</w:t>
            </w:r>
          </w:p>
          <w:p w14:paraId="2D724138" w14:textId="78F1FE2B" w:rsidR="0092726B" w:rsidRPr="0092726B" w:rsidRDefault="0092726B" w:rsidP="0092726B">
            <w:pPr>
              <w:rPr>
                <w:rFonts w:ascii="Century Gothic" w:hAnsi="Century Gothic"/>
                <w:sz w:val="24"/>
                <w:szCs w:val="24"/>
              </w:rPr>
            </w:pPr>
            <w:r w:rsidRPr="0092726B">
              <w:rPr>
                <w:rFonts w:ascii="Century Gothic" w:hAnsi="Century Gothic"/>
                <w:sz w:val="24"/>
                <w:szCs w:val="24"/>
              </w:rPr>
              <w:t>Artes y experiencias estéticas</w:t>
            </w:r>
          </w:p>
        </w:tc>
        <w:tc>
          <w:tcPr>
            <w:tcW w:w="1723" w:type="dxa"/>
            <w:vAlign w:val="center"/>
          </w:tcPr>
          <w:p w14:paraId="06E7004F" w14:textId="77777777" w:rsidR="0092726B" w:rsidRPr="0092726B" w:rsidRDefault="0092726B" w:rsidP="0092726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92726B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133CBBF1" w14:textId="67038AFF" w:rsidR="0092726B" w:rsidRPr="0092726B" w:rsidRDefault="0092726B" w:rsidP="0092726B">
            <w:pPr>
              <w:rPr>
                <w:rFonts w:ascii="Century Gothic" w:hAnsi="Century Gothic"/>
                <w:sz w:val="24"/>
                <w:szCs w:val="24"/>
              </w:rPr>
            </w:pPr>
            <w:r w:rsidRPr="0092726B">
              <w:rPr>
                <w:rFonts w:ascii="Century Gothic" w:hAnsi="Century Gothic" w:cs="Tahoma"/>
                <w:sz w:val="24"/>
                <w:szCs w:val="24"/>
              </w:rPr>
              <w:t>Páginas de la 50 a la 63.</w:t>
            </w:r>
          </w:p>
        </w:tc>
        <w:tc>
          <w:tcPr>
            <w:tcW w:w="2161" w:type="dxa"/>
            <w:vAlign w:val="center"/>
          </w:tcPr>
          <w:p w14:paraId="1C02C1AD" w14:textId="0CE8975F" w:rsidR="0092726B" w:rsidRPr="0092726B" w:rsidRDefault="0092726B" w:rsidP="0092726B">
            <w:pPr>
              <w:rPr>
                <w:rFonts w:ascii="Century Gothic" w:hAnsi="Century Gothic"/>
                <w:sz w:val="24"/>
                <w:szCs w:val="24"/>
              </w:rPr>
            </w:pPr>
            <w:r w:rsidRPr="0092726B">
              <w:rPr>
                <w:rFonts w:ascii="Century Gothic" w:hAnsi="Century Gothic" w:cs="Tahoma"/>
                <w:kern w:val="0"/>
                <w:sz w:val="24"/>
                <w:szCs w:val="24"/>
              </w:rPr>
              <w:t>La perspectiva de género desde la música.</w:t>
            </w:r>
          </w:p>
        </w:tc>
        <w:tc>
          <w:tcPr>
            <w:tcW w:w="4472" w:type="dxa"/>
          </w:tcPr>
          <w:p w14:paraId="30CCDB5F" w14:textId="0A38D002" w:rsidR="0092726B" w:rsidRPr="0092726B" w:rsidRDefault="0092726B" w:rsidP="0092726B">
            <w:pPr>
              <w:rPr>
                <w:rFonts w:ascii="Century Gothic" w:hAnsi="Century Gothic"/>
                <w:sz w:val="24"/>
                <w:szCs w:val="24"/>
              </w:rPr>
            </w:pPr>
            <w:r w:rsidRPr="0092726B">
              <w:rPr>
                <w:rFonts w:ascii="Century Gothic" w:hAnsi="Century Gothic" w:cs="Tahoma"/>
                <w:kern w:val="0"/>
                <w:sz w:val="24"/>
                <w:szCs w:val="24"/>
              </w:rPr>
              <w:t>Intervenir artísticamente una canción para visibilizar y sensibilizar sobre los roles de género y la igualdad de género.</w:t>
            </w:r>
          </w:p>
        </w:tc>
      </w:tr>
      <w:tr w:rsidR="0092726B" w:rsidRPr="0092726B" w14:paraId="11363062" w14:textId="77777777" w:rsidTr="0092726B">
        <w:tc>
          <w:tcPr>
            <w:tcW w:w="3043" w:type="dxa"/>
            <w:vAlign w:val="center"/>
          </w:tcPr>
          <w:p w14:paraId="6A945832" w14:textId="0DB46EA6" w:rsidR="0092726B" w:rsidRPr="0092726B" w:rsidRDefault="0092726B" w:rsidP="0092726B">
            <w:pPr>
              <w:rPr>
                <w:rFonts w:ascii="Century Gothic" w:hAnsi="Century Gothic"/>
                <w:sz w:val="24"/>
                <w:szCs w:val="24"/>
              </w:rPr>
            </w:pPr>
            <w:r w:rsidRPr="0092726B">
              <w:rPr>
                <w:rFonts w:ascii="Century Gothic" w:hAnsi="Century Gothic"/>
                <w:kern w:val="0"/>
                <w:sz w:val="24"/>
                <w:szCs w:val="24"/>
                <w14:ligatures w14:val="none"/>
              </w:rPr>
              <w:t>Saberes y pensamiento científico</w:t>
            </w:r>
          </w:p>
        </w:tc>
        <w:tc>
          <w:tcPr>
            <w:tcW w:w="2991" w:type="dxa"/>
            <w:vAlign w:val="center"/>
          </w:tcPr>
          <w:p w14:paraId="3002BFE7" w14:textId="77777777" w:rsidR="0092726B" w:rsidRPr="0092726B" w:rsidRDefault="0092726B" w:rsidP="0092726B">
            <w:pPr>
              <w:rPr>
                <w:rFonts w:ascii="Century Gothic" w:hAnsi="Century Gothic"/>
                <w:sz w:val="24"/>
                <w:szCs w:val="24"/>
              </w:rPr>
            </w:pPr>
            <w:r w:rsidRPr="0092726B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58086788" w14:textId="7488DD87" w:rsidR="0092726B" w:rsidRPr="0092726B" w:rsidRDefault="0092726B" w:rsidP="0092726B">
            <w:pPr>
              <w:rPr>
                <w:rFonts w:ascii="Century Gothic" w:hAnsi="Century Gothic"/>
                <w:sz w:val="24"/>
                <w:szCs w:val="24"/>
              </w:rPr>
            </w:pPr>
            <w:r w:rsidRPr="0092726B">
              <w:rPr>
                <w:rFonts w:ascii="Century Gothic" w:hAnsi="Century Gothic"/>
                <w:sz w:val="24"/>
                <w:szCs w:val="24"/>
              </w:rPr>
              <w:t>Vida saludable</w:t>
            </w:r>
          </w:p>
        </w:tc>
        <w:tc>
          <w:tcPr>
            <w:tcW w:w="1723" w:type="dxa"/>
            <w:vAlign w:val="center"/>
          </w:tcPr>
          <w:p w14:paraId="7A67E402" w14:textId="77777777" w:rsidR="0092726B" w:rsidRPr="0092726B" w:rsidRDefault="0092726B" w:rsidP="0092726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92726B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5789F6D" w14:textId="7EA327D2" w:rsidR="0092726B" w:rsidRPr="0092726B" w:rsidRDefault="0092726B" w:rsidP="0092726B">
            <w:pPr>
              <w:rPr>
                <w:rFonts w:ascii="Century Gothic" w:hAnsi="Century Gothic"/>
                <w:sz w:val="24"/>
                <w:szCs w:val="24"/>
              </w:rPr>
            </w:pPr>
            <w:r w:rsidRPr="0092726B">
              <w:rPr>
                <w:rFonts w:ascii="Century Gothic" w:hAnsi="Century Gothic" w:cs="Tahoma"/>
                <w:sz w:val="24"/>
                <w:szCs w:val="24"/>
              </w:rPr>
              <w:t>Páginas de la 120 a la 135.</w:t>
            </w:r>
          </w:p>
        </w:tc>
        <w:tc>
          <w:tcPr>
            <w:tcW w:w="2161" w:type="dxa"/>
            <w:vAlign w:val="center"/>
          </w:tcPr>
          <w:p w14:paraId="0F88FC55" w14:textId="0C18BE5E" w:rsidR="0092726B" w:rsidRPr="0092726B" w:rsidRDefault="0092726B" w:rsidP="0092726B">
            <w:pPr>
              <w:rPr>
                <w:rFonts w:ascii="Century Gothic" w:hAnsi="Century Gothic"/>
                <w:sz w:val="24"/>
                <w:szCs w:val="24"/>
              </w:rPr>
            </w:pPr>
            <w:r w:rsidRPr="0092726B">
              <w:rPr>
                <w:rFonts w:ascii="Century Gothic" w:hAnsi="Century Gothic" w:cs="Tahoma"/>
                <w:kern w:val="0"/>
                <w:sz w:val="24"/>
                <w:szCs w:val="24"/>
              </w:rPr>
              <w:t>¡Una bomba en mi cuerpo!</w:t>
            </w:r>
          </w:p>
        </w:tc>
        <w:tc>
          <w:tcPr>
            <w:tcW w:w="4472" w:type="dxa"/>
            <w:vAlign w:val="center"/>
          </w:tcPr>
          <w:p w14:paraId="1544F34B" w14:textId="0C1C0BA2" w:rsidR="0092726B" w:rsidRPr="0092726B" w:rsidRDefault="0092726B" w:rsidP="0092726B">
            <w:pPr>
              <w:rPr>
                <w:rFonts w:ascii="Century Gothic" w:hAnsi="Century Gothic"/>
                <w:sz w:val="24"/>
                <w:szCs w:val="24"/>
              </w:rPr>
            </w:pPr>
            <w:r w:rsidRPr="0092726B">
              <w:rPr>
                <w:rFonts w:ascii="Century Gothic" w:hAnsi="Century Gothic" w:cs="Tahoma"/>
                <w:kern w:val="0"/>
                <w:sz w:val="24"/>
                <w:szCs w:val="24"/>
              </w:rPr>
              <w:t>Identificar las funciones del corazón y la importancia de sus interacciones con el sistema respiratorio mediante la exploración del modelo de un corazón humano. Con ello, conocer y poner en práctica acciones para mantener un estado de salud óptimo y así evitar enfermedades respiratorias y circulatorias. Por último, en colaboración con su comunidad, elaborar un estetoscopio casero para conocer más sobre una de las herramientas médicas que contribuyen al cuidado de su salud.</w:t>
            </w:r>
          </w:p>
        </w:tc>
      </w:tr>
      <w:tr w:rsidR="0092726B" w:rsidRPr="0092726B" w14:paraId="28903A2D" w14:textId="77777777" w:rsidTr="0092726B">
        <w:tc>
          <w:tcPr>
            <w:tcW w:w="3043" w:type="dxa"/>
            <w:vAlign w:val="center"/>
          </w:tcPr>
          <w:p w14:paraId="66EAD28D" w14:textId="61A220F4" w:rsidR="0092726B" w:rsidRPr="0092726B" w:rsidRDefault="0092726B" w:rsidP="0092726B">
            <w:pPr>
              <w:rPr>
                <w:rFonts w:ascii="Century Gothic" w:hAnsi="Century Gothic"/>
                <w:sz w:val="24"/>
                <w:szCs w:val="24"/>
              </w:rPr>
            </w:pPr>
            <w:r w:rsidRPr="0092726B">
              <w:rPr>
                <w:rFonts w:ascii="Century Gothic" w:hAnsi="Century Gothic"/>
                <w:kern w:val="0"/>
                <w:sz w:val="24"/>
                <w:szCs w:val="24"/>
                <w14:ligatures w14:val="none"/>
              </w:rPr>
              <w:t>Lenguajes</w:t>
            </w:r>
          </w:p>
        </w:tc>
        <w:tc>
          <w:tcPr>
            <w:tcW w:w="2991" w:type="dxa"/>
            <w:vAlign w:val="center"/>
          </w:tcPr>
          <w:p w14:paraId="599C58D7" w14:textId="6463ED6E" w:rsidR="0092726B" w:rsidRPr="0092726B" w:rsidRDefault="0092726B" w:rsidP="0092726B">
            <w:pPr>
              <w:rPr>
                <w:rFonts w:ascii="Century Gothic" w:hAnsi="Century Gothic"/>
                <w:sz w:val="24"/>
                <w:szCs w:val="24"/>
              </w:rPr>
            </w:pPr>
            <w:r w:rsidRPr="0092726B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</w:tc>
        <w:tc>
          <w:tcPr>
            <w:tcW w:w="1723" w:type="dxa"/>
            <w:vAlign w:val="center"/>
          </w:tcPr>
          <w:p w14:paraId="2AF6ECAB" w14:textId="77777777" w:rsidR="0092726B" w:rsidRPr="0092726B" w:rsidRDefault="0092726B" w:rsidP="0092726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92726B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E092657" w14:textId="5DE2130B" w:rsidR="0092726B" w:rsidRPr="0092726B" w:rsidRDefault="0092726B" w:rsidP="0092726B">
            <w:pPr>
              <w:rPr>
                <w:rFonts w:ascii="Century Gothic" w:hAnsi="Century Gothic"/>
                <w:sz w:val="24"/>
                <w:szCs w:val="24"/>
              </w:rPr>
            </w:pPr>
            <w:r w:rsidRPr="0092726B">
              <w:rPr>
                <w:rFonts w:ascii="Century Gothic" w:hAnsi="Century Gothic" w:cs="Tahoma"/>
                <w:sz w:val="24"/>
                <w:szCs w:val="24"/>
              </w:rPr>
              <w:t>Páginas de la 46 a la 57.</w:t>
            </w:r>
          </w:p>
        </w:tc>
        <w:tc>
          <w:tcPr>
            <w:tcW w:w="2161" w:type="dxa"/>
            <w:vAlign w:val="center"/>
          </w:tcPr>
          <w:p w14:paraId="2010C993" w14:textId="1BEE8A9D" w:rsidR="0092726B" w:rsidRPr="0092726B" w:rsidRDefault="0092726B" w:rsidP="0092726B">
            <w:pPr>
              <w:rPr>
                <w:rFonts w:ascii="Century Gothic" w:hAnsi="Century Gothic"/>
                <w:sz w:val="24"/>
                <w:szCs w:val="24"/>
              </w:rPr>
            </w:pPr>
            <w:r w:rsidRPr="0092726B">
              <w:rPr>
                <w:rFonts w:ascii="Century Gothic" w:hAnsi="Century Gothic" w:cs="Tahoma"/>
                <w:kern w:val="0"/>
                <w:sz w:val="24"/>
                <w:szCs w:val="24"/>
              </w:rPr>
              <w:t>Nuestra primera revista colectiva.</w:t>
            </w:r>
          </w:p>
        </w:tc>
        <w:tc>
          <w:tcPr>
            <w:tcW w:w="4472" w:type="dxa"/>
            <w:vAlign w:val="center"/>
          </w:tcPr>
          <w:p w14:paraId="3F11CA71" w14:textId="62A4C7F9" w:rsidR="0092726B" w:rsidRPr="0092726B" w:rsidRDefault="0092726B" w:rsidP="0092726B">
            <w:pPr>
              <w:rPr>
                <w:rFonts w:ascii="Century Gothic" w:hAnsi="Century Gothic"/>
                <w:sz w:val="24"/>
                <w:szCs w:val="24"/>
              </w:rPr>
            </w:pPr>
            <w:r w:rsidRPr="0092726B">
              <w:rPr>
                <w:rFonts w:ascii="Century Gothic" w:hAnsi="Century Gothic" w:cs="Tahoma"/>
                <w:kern w:val="0"/>
                <w:sz w:val="24"/>
                <w:szCs w:val="24"/>
              </w:rPr>
              <w:t>Realizar una revista de divulgación que se centre en diferentes acontecimientos y lugares del mundo. Investigar sobre algunas maneras de informar e informarte y consultar diferentes medios para, finalmente, hacer una presentación ante las madres y padres de familia.</w:t>
            </w:r>
          </w:p>
        </w:tc>
      </w:tr>
    </w:tbl>
    <w:p w14:paraId="099E919D" w14:textId="77777777" w:rsidR="002F59BC" w:rsidRDefault="002F59BC"/>
    <w:sectPr w:rsidR="002F59BC" w:rsidSect="005306B6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A2757" w14:textId="77777777" w:rsidR="005306B6" w:rsidRDefault="005306B6" w:rsidP="000811FC">
      <w:pPr>
        <w:spacing w:after="0" w:line="240" w:lineRule="auto"/>
      </w:pPr>
      <w:r>
        <w:separator/>
      </w:r>
    </w:p>
  </w:endnote>
  <w:endnote w:type="continuationSeparator" w:id="0">
    <w:p w14:paraId="50AD459F" w14:textId="77777777" w:rsidR="005306B6" w:rsidRDefault="005306B6" w:rsidP="0008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2A0C3" w14:textId="77777777" w:rsidR="005306B6" w:rsidRDefault="005306B6" w:rsidP="000811FC">
      <w:pPr>
        <w:spacing w:after="0" w:line="240" w:lineRule="auto"/>
      </w:pPr>
      <w:r>
        <w:separator/>
      </w:r>
    </w:p>
  </w:footnote>
  <w:footnote w:type="continuationSeparator" w:id="0">
    <w:p w14:paraId="14DDE45B" w14:textId="77777777" w:rsidR="005306B6" w:rsidRDefault="005306B6" w:rsidP="0008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BC74C" w14:textId="35B18579" w:rsidR="000811FC" w:rsidRPr="000811FC" w:rsidRDefault="000811FC" w:rsidP="000811FC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0CFCC4E" wp14:editId="58D2CE0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3533427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7618B"/>
    <w:rsid w:val="000811FC"/>
    <w:rsid w:val="002C7D29"/>
    <w:rsid w:val="002D37A9"/>
    <w:rsid w:val="002F59BC"/>
    <w:rsid w:val="003F05D5"/>
    <w:rsid w:val="004104AA"/>
    <w:rsid w:val="005306B6"/>
    <w:rsid w:val="00810595"/>
    <w:rsid w:val="0092726B"/>
    <w:rsid w:val="009A5BC5"/>
    <w:rsid w:val="00AD1658"/>
    <w:rsid w:val="00AF3C79"/>
    <w:rsid w:val="00B474F4"/>
    <w:rsid w:val="00B51E4C"/>
    <w:rsid w:val="00C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1FC"/>
  </w:style>
  <w:style w:type="paragraph" w:styleId="Piedepgina">
    <w:name w:val="footer"/>
    <w:basedOn w:val="Normal"/>
    <w:link w:val="Piedepgina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5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316</Words>
  <Characters>1744</Characters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2024-04-16T04:56:00Z</dcterms:modified>
  <cp:category>www.DidacticosMX.com</cp:category>
</cp:coreProperties>
</file>