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E2D3" w14:textId="2DAB080A" w:rsidR="006421DE" w:rsidRDefault="006421DE" w:rsidP="006421D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1817019" w14:textId="26300DFD" w:rsidR="006421DE" w:rsidRDefault="006421DE" w:rsidP="006421D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DB658CE" w14:textId="77777777" w:rsidR="006421DE" w:rsidRDefault="006421DE" w:rsidP="006421D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779BBFE" w14:textId="77777777" w:rsidR="006421DE" w:rsidRDefault="006421DE" w:rsidP="006421D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42DBAFE" w14:textId="2A44ECF0" w:rsidR="006421DE" w:rsidRDefault="006421DE" w:rsidP="006421D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FD61768" w14:textId="77777777" w:rsidR="006421DE" w:rsidRDefault="006421D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F16916E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5EB9A2EB" w:rsidR="00810595" w:rsidRPr="000811FC" w:rsidRDefault="00190B07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11. 5 AL 16 FEBRERO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268"/>
        <w:gridCol w:w="5890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190B07">
        <w:tc>
          <w:tcPr>
            <w:tcW w:w="1980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01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268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890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90B07" w:rsidRPr="00AD1658" w14:paraId="3E0896F7" w14:textId="77777777" w:rsidTr="00190B07">
        <w:tc>
          <w:tcPr>
            <w:tcW w:w="1980" w:type="dxa"/>
            <w:vAlign w:val="center"/>
          </w:tcPr>
          <w:p w14:paraId="2615CD50" w14:textId="750A858A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Lenguajes</w:t>
            </w:r>
          </w:p>
        </w:tc>
        <w:tc>
          <w:tcPr>
            <w:tcW w:w="2551" w:type="dxa"/>
            <w:vAlign w:val="center"/>
          </w:tcPr>
          <w:p w14:paraId="2D724138" w14:textId="5C4FBA0D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01" w:type="dxa"/>
            <w:vAlign w:val="center"/>
          </w:tcPr>
          <w:p w14:paraId="5423733D" w14:textId="77777777" w:rsidR="00190B07" w:rsidRPr="00D62DD9" w:rsidRDefault="00190B07" w:rsidP="00190B0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F08C91E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Páginas de la 22 a la 37.</w:t>
            </w:r>
          </w:p>
        </w:tc>
        <w:tc>
          <w:tcPr>
            <w:tcW w:w="2268" w:type="dxa"/>
            <w:vAlign w:val="center"/>
          </w:tcPr>
          <w:p w14:paraId="1C02C1AD" w14:textId="402C4BEA" w:rsidR="00190B07" w:rsidRPr="00190B07" w:rsidRDefault="00190B07" w:rsidP="00190B0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90B0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Fragmentos de nuestra vida.</w:t>
            </w:r>
          </w:p>
        </w:tc>
        <w:tc>
          <w:tcPr>
            <w:tcW w:w="5890" w:type="dxa"/>
            <w:vAlign w:val="center"/>
          </w:tcPr>
          <w:p w14:paraId="30CCDB5F" w14:textId="2948F9F0" w:rsidR="00190B07" w:rsidRPr="00AD1658" w:rsidRDefault="00190B07" w:rsidP="00190B07">
            <w:pPr>
              <w:jc w:val="both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las características y usos más frecuentes de los textos discontinuos, con la intención de conocer una forma de organizar la información. A su vez, poner en juego sus ideas sobre la diversidad cultural, las lenguas originarias de México y las adversidades que enfrentan para asistir a la escuela.</w:t>
            </w:r>
          </w:p>
        </w:tc>
      </w:tr>
      <w:tr w:rsidR="00190B07" w:rsidRPr="00AD1658" w14:paraId="11363062" w14:textId="77777777" w:rsidTr="00190B07">
        <w:tc>
          <w:tcPr>
            <w:tcW w:w="1980" w:type="dxa"/>
            <w:vAlign w:val="center"/>
          </w:tcPr>
          <w:p w14:paraId="6A945832" w14:textId="07382738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8086788" w14:textId="329070A4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01" w:type="dxa"/>
            <w:vAlign w:val="center"/>
          </w:tcPr>
          <w:p w14:paraId="6FA92F9F" w14:textId="77777777" w:rsidR="00190B07" w:rsidRPr="00D62DD9" w:rsidRDefault="00190B07" w:rsidP="00190B0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4894D2E2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Páginas de la 234 a la 245.</w:t>
            </w:r>
          </w:p>
        </w:tc>
        <w:tc>
          <w:tcPr>
            <w:tcW w:w="2268" w:type="dxa"/>
            <w:vAlign w:val="center"/>
          </w:tcPr>
          <w:p w14:paraId="0F88FC55" w14:textId="072B5268" w:rsidR="00190B07" w:rsidRPr="00190B07" w:rsidRDefault="00190B07" w:rsidP="00190B0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90B0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Las diferentes culturas en el contexto americano.</w:t>
            </w:r>
          </w:p>
        </w:tc>
        <w:tc>
          <w:tcPr>
            <w:tcW w:w="5890" w:type="dxa"/>
            <w:vAlign w:val="center"/>
          </w:tcPr>
          <w:p w14:paraId="1544F34B" w14:textId="74D744FA" w:rsidR="00190B07" w:rsidRPr="00AD1658" w:rsidRDefault="00190B07" w:rsidP="00190B07">
            <w:pPr>
              <w:jc w:val="both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kern w:val="0"/>
                <w:sz w:val="24"/>
                <w:szCs w:val="24"/>
              </w:rPr>
              <w:t>Investigar acerca de la diversidad cultural presente en el continente americano y reflexionar sobre las distintas realidades que se viven en el territorio. Además, realizar una Feria de la diversidad cultural para contribuir a contrarrestar el desconocimiento que gran parte de la población tiene de los pueblos originarios.</w:t>
            </w:r>
          </w:p>
        </w:tc>
      </w:tr>
      <w:tr w:rsidR="00190B07" w:rsidRPr="00AD1658" w14:paraId="28903A2D" w14:textId="77777777" w:rsidTr="00190B07">
        <w:tc>
          <w:tcPr>
            <w:tcW w:w="1980" w:type="dxa"/>
            <w:vAlign w:val="center"/>
          </w:tcPr>
          <w:p w14:paraId="66EAD28D" w14:textId="52DE71D9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21071651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190B0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190B07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01" w:type="dxa"/>
            <w:vAlign w:val="center"/>
          </w:tcPr>
          <w:p w14:paraId="017E29FA" w14:textId="77777777" w:rsidR="00190B07" w:rsidRPr="00D62DD9" w:rsidRDefault="00190B07" w:rsidP="00190B0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601D18BC" w:rsidR="00190B07" w:rsidRPr="00AD1658" w:rsidRDefault="00190B07" w:rsidP="00190B07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Páginas de la 246 a la 263.</w:t>
            </w:r>
          </w:p>
        </w:tc>
        <w:tc>
          <w:tcPr>
            <w:tcW w:w="2268" w:type="dxa"/>
            <w:vAlign w:val="center"/>
          </w:tcPr>
          <w:p w14:paraId="2010C993" w14:textId="523D95F6" w:rsidR="00190B07" w:rsidRPr="00190B07" w:rsidRDefault="00190B07" w:rsidP="00190B0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90B0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Migrar es un derecho humano.</w:t>
            </w:r>
          </w:p>
        </w:tc>
        <w:tc>
          <w:tcPr>
            <w:tcW w:w="5890" w:type="dxa"/>
            <w:vAlign w:val="center"/>
          </w:tcPr>
          <w:p w14:paraId="3F11CA71" w14:textId="6D4CD53B" w:rsidR="00190B07" w:rsidRPr="00AD1658" w:rsidRDefault="00190B07" w:rsidP="00190B07">
            <w:pPr>
              <w:jc w:val="both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kern w:val="0"/>
                <w:sz w:val="24"/>
                <w:szCs w:val="24"/>
              </w:rPr>
              <w:t>Conocer los diversos motivos por los que los seres humanos cambian su lugar de residencia. Aprender que la migración es un derecho universal que todas las personas tienen y participar en la creación de una campaña de difusión en favor de los derechos humanos de los migrantes.</w:t>
            </w:r>
          </w:p>
        </w:tc>
      </w:tr>
    </w:tbl>
    <w:p w14:paraId="099E919D" w14:textId="77777777" w:rsidR="002F59BC" w:rsidRDefault="002F59BC"/>
    <w:sectPr w:rsidR="002F59BC" w:rsidSect="0082550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8F0A" w14:textId="77777777" w:rsidR="0082550A" w:rsidRDefault="0082550A" w:rsidP="000811FC">
      <w:pPr>
        <w:spacing w:after="0" w:line="240" w:lineRule="auto"/>
      </w:pPr>
      <w:r>
        <w:separator/>
      </w:r>
    </w:p>
  </w:endnote>
  <w:endnote w:type="continuationSeparator" w:id="0">
    <w:p w14:paraId="68D10917" w14:textId="77777777" w:rsidR="0082550A" w:rsidRDefault="0082550A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1413" w14:textId="77777777" w:rsidR="0082550A" w:rsidRDefault="0082550A" w:rsidP="000811FC">
      <w:pPr>
        <w:spacing w:after="0" w:line="240" w:lineRule="auto"/>
      </w:pPr>
      <w:r>
        <w:separator/>
      </w:r>
    </w:p>
  </w:footnote>
  <w:footnote w:type="continuationSeparator" w:id="0">
    <w:p w14:paraId="25FB1A9E" w14:textId="77777777" w:rsidR="0082550A" w:rsidRDefault="0082550A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90B07"/>
    <w:rsid w:val="002C7D29"/>
    <w:rsid w:val="002D37A9"/>
    <w:rsid w:val="002F59BC"/>
    <w:rsid w:val="003F05D5"/>
    <w:rsid w:val="004104AA"/>
    <w:rsid w:val="006421DE"/>
    <w:rsid w:val="00810595"/>
    <w:rsid w:val="0082550A"/>
    <w:rsid w:val="008D34D2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2024-04-07T02:26:00Z</dcterms:modified>
  <cp:category>www.DidacticosMx.com</cp:category>
</cp:coreProperties>
</file>