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7740" w14:textId="6E231F4F" w:rsidR="00C35B52" w:rsidRDefault="00C35B52" w:rsidP="00C35B52">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 xml:space="preserve">PROYECTOS DEL PERIODO </w:t>
      </w:r>
      <w:r>
        <w:rPr>
          <w:rFonts w:ascii="Century Gothic" w:hAnsi="Century Gothic"/>
          <w:b/>
          <w:bCs/>
          <w:color w:val="0D0D0D" w:themeColor="text1" w:themeTint="F2"/>
          <w:sz w:val="44"/>
          <w:szCs w:val="44"/>
        </w:rPr>
        <w:t>5</w:t>
      </w:r>
      <w:r>
        <w:rPr>
          <w:rFonts w:ascii="Century Gothic" w:hAnsi="Century Gothic"/>
          <w:b/>
          <w:bCs/>
          <w:color w:val="0D0D0D" w:themeColor="text1" w:themeTint="F2"/>
          <w:sz w:val="44"/>
          <w:szCs w:val="44"/>
        </w:rPr>
        <w:t>:</w:t>
      </w:r>
    </w:p>
    <w:p w14:paraId="39C0899F" w14:textId="5475158E" w:rsidR="00C35B52" w:rsidRDefault="00C35B52" w:rsidP="00C35B52">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5</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2A6C7B85" w14:textId="77777777" w:rsidR="00C35B52" w:rsidRDefault="00C35B52" w:rsidP="00C35B52">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1ECB603B" w14:textId="77777777" w:rsidR="00C35B52" w:rsidRDefault="00C35B52" w:rsidP="00C35B52">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7B3772C6" w14:textId="2AC8CC2B" w:rsidR="00C35B52" w:rsidRDefault="00C35B52" w:rsidP="00C35B52">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El paquete del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5</w:t>
      </w:r>
      <w:r>
        <w:rPr>
          <w:rFonts w:ascii="Century Gothic" w:hAnsi="Century Gothic"/>
          <w:color w:val="0D0D0D" w:themeColor="text1" w:themeTint="F2"/>
          <w:sz w:val="36"/>
          <w:szCs w:val="36"/>
        </w:rPr>
        <w:t xml:space="preserve"> incluye 3 proyectos didácticos.</w:t>
      </w:r>
    </w:p>
    <w:p w14:paraId="6DD5E220" w14:textId="77777777" w:rsidR="00C35B52" w:rsidRDefault="00C35B52">
      <w:pPr>
        <w:rPr>
          <w:rFonts w:ascii="Century Gothic" w:hAnsi="Century Gothic"/>
          <w:b/>
          <w:bCs/>
          <w:sz w:val="32"/>
          <w:szCs w:val="32"/>
        </w:rPr>
      </w:pPr>
      <w:r>
        <w:rPr>
          <w:rFonts w:ascii="Century Gothic" w:hAnsi="Century Gothic"/>
          <w:b/>
          <w:bCs/>
          <w:sz w:val="32"/>
          <w:szCs w:val="32"/>
        </w:rPr>
        <w:br w:type="page"/>
      </w:r>
    </w:p>
    <w:p w14:paraId="19ADF972" w14:textId="0232B1A6" w:rsidR="00AD1658" w:rsidRDefault="000811FC" w:rsidP="000811FC">
      <w:pPr>
        <w:spacing w:after="0"/>
        <w:jc w:val="center"/>
        <w:rPr>
          <w:rFonts w:ascii="Century Gothic" w:hAnsi="Century Gothic"/>
          <w:b/>
          <w:bCs/>
          <w:sz w:val="32"/>
          <w:szCs w:val="32"/>
        </w:rPr>
      </w:pPr>
      <w:r>
        <w:rPr>
          <w:rFonts w:ascii="Century Gothic" w:hAnsi="Century Gothic"/>
          <w:b/>
          <w:bCs/>
          <w:sz w:val="32"/>
          <w:szCs w:val="32"/>
        </w:rPr>
        <w:lastRenderedPageBreak/>
        <w:t>5to Grado</w:t>
      </w:r>
    </w:p>
    <w:p w14:paraId="31B20B6C" w14:textId="7375D5B8" w:rsidR="000578B0" w:rsidRPr="000811FC" w:rsidRDefault="000578B0" w:rsidP="000811FC">
      <w:pPr>
        <w:spacing w:after="0"/>
        <w:jc w:val="center"/>
        <w:rPr>
          <w:rFonts w:ascii="Century Gothic" w:hAnsi="Century Gothic"/>
          <w:b/>
          <w:bCs/>
          <w:sz w:val="32"/>
          <w:szCs w:val="32"/>
        </w:rPr>
      </w:pPr>
      <w:r>
        <w:rPr>
          <w:rFonts w:ascii="Century Gothic" w:hAnsi="Century Gothic"/>
          <w:b/>
          <w:bCs/>
          <w:sz w:val="32"/>
          <w:szCs w:val="32"/>
        </w:rPr>
        <w:t>05. 30 OCTUBRE AL 10 NOVIEMBRE</w:t>
      </w:r>
    </w:p>
    <w:tbl>
      <w:tblPr>
        <w:tblStyle w:val="Tablaconcuadrcula"/>
        <w:tblW w:w="0" w:type="auto"/>
        <w:tblBorders>
          <w:top w:val="single" w:sz="4" w:space="0" w:color="FFB953"/>
          <w:left w:val="single" w:sz="4" w:space="0" w:color="FFB953"/>
          <w:bottom w:val="single" w:sz="4" w:space="0" w:color="FFB953"/>
          <w:right w:val="single" w:sz="4" w:space="0" w:color="FFB953"/>
          <w:insideH w:val="single" w:sz="4" w:space="0" w:color="FFB953"/>
          <w:insideV w:val="single" w:sz="4" w:space="0" w:color="FFB953"/>
        </w:tblBorders>
        <w:tblLook w:val="04A0" w:firstRow="1" w:lastRow="0" w:firstColumn="1" w:lastColumn="0" w:noHBand="0" w:noVBand="1"/>
      </w:tblPr>
      <w:tblGrid>
        <w:gridCol w:w="2547"/>
        <w:gridCol w:w="2835"/>
        <w:gridCol w:w="1843"/>
        <w:gridCol w:w="1984"/>
        <w:gridCol w:w="5181"/>
      </w:tblGrid>
      <w:tr w:rsidR="00AD1658" w:rsidRPr="00AD1658" w14:paraId="51312299" w14:textId="77777777" w:rsidTr="00CD5FC1">
        <w:tc>
          <w:tcPr>
            <w:tcW w:w="14390" w:type="dxa"/>
            <w:gridSpan w:val="5"/>
            <w:shd w:val="clear" w:color="auto" w:fill="FFDFAF"/>
            <w:vAlign w:val="center"/>
          </w:tcPr>
          <w:p w14:paraId="7345A0A7" w14:textId="79765A83" w:rsidR="00AD1658" w:rsidRPr="00AD1658" w:rsidRDefault="000578B0"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0578B0">
        <w:tc>
          <w:tcPr>
            <w:tcW w:w="2547" w:type="dxa"/>
            <w:shd w:val="clear" w:color="auto" w:fill="FFEED5"/>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2835" w:type="dxa"/>
            <w:shd w:val="clear" w:color="auto" w:fill="FFEED5"/>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843" w:type="dxa"/>
            <w:shd w:val="clear" w:color="auto" w:fill="FFEED5"/>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1984" w:type="dxa"/>
            <w:shd w:val="clear" w:color="auto" w:fill="FFEED5"/>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5181" w:type="dxa"/>
            <w:shd w:val="clear" w:color="auto" w:fill="FFEED5"/>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0578B0" w:rsidRPr="00AD1658" w14:paraId="3E0896F7" w14:textId="77777777" w:rsidTr="000578B0">
        <w:tc>
          <w:tcPr>
            <w:tcW w:w="2547" w:type="dxa"/>
            <w:vAlign w:val="center"/>
          </w:tcPr>
          <w:p w14:paraId="2615CD50" w14:textId="7B5C26B8" w:rsidR="000578B0" w:rsidRPr="000578B0" w:rsidRDefault="000578B0" w:rsidP="000578B0">
            <w:pPr>
              <w:jc w:val="center"/>
              <w:rPr>
                <w:rFonts w:ascii="Century Gothic" w:hAnsi="Century Gothic"/>
                <w:b/>
                <w:bCs/>
              </w:rPr>
            </w:pPr>
            <w:r w:rsidRPr="000578B0">
              <w:rPr>
                <w:rFonts w:ascii="Century Gothic" w:hAnsi="Century Gothic"/>
                <w:b/>
                <w:bCs/>
              </w:rPr>
              <w:t>Saberes y pensamiento científico</w:t>
            </w:r>
          </w:p>
        </w:tc>
        <w:tc>
          <w:tcPr>
            <w:tcW w:w="2835" w:type="dxa"/>
            <w:vAlign w:val="center"/>
          </w:tcPr>
          <w:p w14:paraId="2D724138" w14:textId="20B97DD9" w:rsidR="000578B0" w:rsidRPr="00AD1658" w:rsidRDefault="000578B0" w:rsidP="000578B0">
            <w:pPr>
              <w:jc w:val="center"/>
              <w:rPr>
                <w:rFonts w:ascii="Century Gothic" w:hAnsi="Century Gothic"/>
              </w:rPr>
            </w:pPr>
            <w:r w:rsidRPr="000578B0">
              <w:rPr>
                <w:rFonts w:ascii="Century Gothic" w:hAnsi="Century Gothic"/>
              </w:rPr>
              <w:t>Pensamiento crítico</w:t>
            </w:r>
            <w:r>
              <w:rPr>
                <w:rFonts w:ascii="Century Gothic" w:hAnsi="Century Gothic"/>
              </w:rPr>
              <w:t xml:space="preserve">, </w:t>
            </w:r>
            <w:r w:rsidRPr="000578B0">
              <w:rPr>
                <w:rFonts w:ascii="Century Gothic" w:hAnsi="Century Gothic"/>
              </w:rPr>
              <w:t>Apropiación de las culturas a través de la lectura y la escritura</w:t>
            </w:r>
            <w:r>
              <w:rPr>
                <w:rFonts w:ascii="Century Gothic" w:hAnsi="Century Gothic"/>
              </w:rPr>
              <w:t xml:space="preserve">, </w:t>
            </w:r>
            <w:r w:rsidRPr="000578B0">
              <w:rPr>
                <w:rFonts w:ascii="Century Gothic" w:hAnsi="Century Gothic"/>
              </w:rPr>
              <w:t>Artes y experiencias estéticas</w:t>
            </w:r>
            <w:r>
              <w:rPr>
                <w:rFonts w:ascii="Century Gothic" w:hAnsi="Century Gothic"/>
              </w:rPr>
              <w:t>.</w:t>
            </w:r>
          </w:p>
        </w:tc>
        <w:tc>
          <w:tcPr>
            <w:tcW w:w="1843" w:type="dxa"/>
            <w:vAlign w:val="center"/>
          </w:tcPr>
          <w:p w14:paraId="2B0B2A25" w14:textId="77777777" w:rsidR="000578B0" w:rsidRPr="00E94D1F" w:rsidRDefault="000578B0" w:rsidP="000578B0">
            <w:pPr>
              <w:jc w:val="center"/>
              <w:rPr>
                <w:rFonts w:ascii="Century Gothic" w:hAnsi="Century Gothic" w:cs="Tahoma"/>
                <w:sz w:val="24"/>
                <w:szCs w:val="24"/>
              </w:rPr>
            </w:pPr>
            <w:r w:rsidRPr="00E94D1F">
              <w:rPr>
                <w:rFonts w:ascii="Century Gothic" w:hAnsi="Century Gothic" w:cs="Tahoma"/>
                <w:sz w:val="24"/>
                <w:szCs w:val="24"/>
              </w:rPr>
              <w:t>Aula.</w:t>
            </w:r>
          </w:p>
          <w:p w14:paraId="133CBBF1" w14:textId="665C8EC7" w:rsidR="000578B0" w:rsidRPr="00AD1658" w:rsidRDefault="000578B0" w:rsidP="000578B0">
            <w:pPr>
              <w:jc w:val="center"/>
              <w:rPr>
                <w:rFonts w:ascii="Century Gothic" w:hAnsi="Century Gothic"/>
              </w:rPr>
            </w:pPr>
            <w:r w:rsidRPr="00E94D1F">
              <w:rPr>
                <w:rFonts w:ascii="Century Gothic" w:hAnsi="Century Gothic" w:cs="Tahoma"/>
                <w:sz w:val="24"/>
                <w:szCs w:val="24"/>
              </w:rPr>
              <w:t>Páginas de la 162 a la 175.</w:t>
            </w:r>
          </w:p>
        </w:tc>
        <w:tc>
          <w:tcPr>
            <w:tcW w:w="1984" w:type="dxa"/>
            <w:vAlign w:val="center"/>
          </w:tcPr>
          <w:p w14:paraId="1C02C1AD" w14:textId="126C75F6" w:rsidR="000578B0" w:rsidRPr="00AD1658" w:rsidRDefault="000578B0" w:rsidP="000578B0">
            <w:pPr>
              <w:jc w:val="center"/>
              <w:rPr>
                <w:rFonts w:ascii="Century Gothic" w:hAnsi="Century Gothic"/>
              </w:rPr>
            </w:pPr>
            <w:r w:rsidRPr="00E94D1F">
              <w:rPr>
                <w:rFonts w:ascii="Century Gothic" w:hAnsi="Century Gothic" w:cs="Tahoma"/>
                <w:kern w:val="0"/>
                <w:sz w:val="24"/>
                <w:szCs w:val="24"/>
              </w:rPr>
              <w:t>Objetos bailarines.</w:t>
            </w:r>
          </w:p>
        </w:tc>
        <w:tc>
          <w:tcPr>
            <w:tcW w:w="5181" w:type="dxa"/>
            <w:vAlign w:val="center"/>
          </w:tcPr>
          <w:p w14:paraId="30CCDB5F" w14:textId="76DACA28" w:rsidR="000578B0" w:rsidRPr="00AD1658" w:rsidRDefault="000578B0" w:rsidP="000578B0">
            <w:pPr>
              <w:jc w:val="both"/>
              <w:rPr>
                <w:rFonts w:ascii="Century Gothic" w:hAnsi="Century Gothic"/>
              </w:rPr>
            </w:pPr>
            <w:r w:rsidRPr="00E94D1F">
              <w:rPr>
                <w:rFonts w:ascii="Century Gothic" w:hAnsi="Century Gothic" w:cs="Tahoma"/>
                <w:kern w:val="0"/>
                <w:sz w:val="24"/>
                <w:szCs w:val="24"/>
              </w:rPr>
              <w:t>Con integrantes de su comunidad, analizar las propiedades del magnetismo y su relación con la electricidad. Experimentar con la atracción y repulsión de objetos mediante experimentos de electromagnetismo para que después apliquen este conocimiento en su comunidad.</w:t>
            </w:r>
          </w:p>
        </w:tc>
      </w:tr>
      <w:tr w:rsidR="000578B0" w:rsidRPr="00AD1658" w14:paraId="11363062" w14:textId="77777777" w:rsidTr="000578B0">
        <w:tc>
          <w:tcPr>
            <w:tcW w:w="2547" w:type="dxa"/>
            <w:vAlign w:val="center"/>
          </w:tcPr>
          <w:p w14:paraId="6A945832" w14:textId="207286D2" w:rsidR="000578B0" w:rsidRPr="000578B0" w:rsidRDefault="000578B0" w:rsidP="000578B0">
            <w:pPr>
              <w:jc w:val="center"/>
              <w:rPr>
                <w:rFonts w:ascii="Century Gothic" w:hAnsi="Century Gothic"/>
                <w:b/>
                <w:bCs/>
              </w:rPr>
            </w:pPr>
            <w:r w:rsidRPr="000578B0">
              <w:rPr>
                <w:rFonts w:ascii="Century Gothic" w:hAnsi="Century Gothic"/>
                <w:b/>
                <w:bCs/>
              </w:rPr>
              <w:t>De lo humano y lo comunitario</w:t>
            </w:r>
          </w:p>
        </w:tc>
        <w:tc>
          <w:tcPr>
            <w:tcW w:w="2835" w:type="dxa"/>
            <w:vAlign w:val="center"/>
          </w:tcPr>
          <w:p w14:paraId="58086788" w14:textId="669CF161" w:rsidR="000578B0" w:rsidRPr="00AD1658" w:rsidRDefault="000578B0" w:rsidP="000578B0">
            <w:pPr>
              <w:jc w:val="center"/>
              <w:rPr>
                <w:rFonts w:ascii="Century Gothic" w:hAnsi="Century Gothic"/>
              </w:rPr>
            </w:pPr>
            <w:r w:rsidRPr="000578B0">
              <w:rPr>
                <w:rFonts w:ascii="Century Gothic" w:hAnsi="Century Gothic"/>
              </w:rPr>
              <w:t>Pensamiento crítico</w:t>
            </w:r>
            <w:r>
              <w:rPr>
                <w:rFonts w:ascii="Century Gothic" w:hAnsi="Century Gothic"/>
              </w:rPr>
              <w:t xml:space="preserve">, </w:t>
            </w:r>
            <w:r w:rsidRPr="000578B0">
              <w:rPr>
                <w:rFonts w:ascii="Century Gothic" w:hAnsi="Century Gothic"/>
              </w:rPr>
              <w:t>Interculturalidad crítica</w:t>
            </w:r>
            <w:r>
              <w:rPr>
                <w:rFonts w:ascii="Century Gothic" w:hAnsi="Century Gothic"/>
              </w:rPr>
              <w:t xml:space="preserve">, </w:t>
            </w:r>
            <w:r w:rsidRPr="000578B0">
              <w:rPr>
                <w:rFonts w:ascii="Century Gothic" w:hAnsi="Century Gothic"/>
              </w:rPr>
              <w:t>Vida saludable</w:t>
            </w:r>
            <w:r>
              <w:rPr>
                <w:rFonts w:ascii="Century Gothic" w:hAnsi="Century Gothic"/>
              </w:rPr>
              <w:t xml:space="preserve">, </w:t>
            </w:r>
            <w:r w:rsidRPr="000578B0">
              <w:rPr>
                <w:rFonts w:ascii="Century Gothic" w:hAnsi="Century Gothic"/>
              </w:rPr>
              <w:t>Artes y experiencias estéticas</w:t>
            </w:r>
            <w:r>
              <w:rPr>
                <w:rFonts w:ascii="Century Gothic" w:hAnsi="Century Gothic"/>
              </w:rPr>
              <w:t>.</w:t>
            </w:r>
          </w:p>
        </w:tc>
        <w:tc>
          <w:tcPr>
            <w:tcW w:w="1843" w:type="dxa"/>
            <w:vAlign w:val="center"/>
          </w:tcPr>
          <w:p w14:paraId="44808D26" w14:textId="77777777" w:rsidR="000578B0" w:rsidRPr="00327CB5" w:rsidRDefault="000578B0" w:rsidP="000578B0">
            <w:pPr>
              <w:jc w:val="center"/>
              <w:rPr>
                <w:rFonts w:ascii="Century Gothic" w:hAnsi="Century Gothic" w:cs="Tahoma"/>
                <w:sz w:val="24"/>
                <w:szCs w:val="24"/>
              </w:rPr>
            </w:pPr>
            <w:r w:rsidRPr="00327CB5">
              <w:rPr>
                <w:rFonts w:ascii="Century Gothic" w:hAnsi="Century Gothic" w:cs="Tahoma"/>
                <w:sz w:val="24"/>
                <w:szCs w:val="24"/>
              </w:rPr>
              <w:t>Escolar.</w:t>
            </w:r>
          </w:p>
          <w:p w14:paraId="55789F6D" w14:textId="12B3CA31" w:rsidR="000578B0" w:rsidRPr="00AD1658" w:rsidRDefault="000578B0" w:rsidP="000578B0">
            <w:pPr>
              <w:jc w:val="center"/>
              <w:rPr>
                <w:rFonts w:ascii="Century Gothic" w:hAnsi="Century Gothic"/>
              </w:rPr>
            </w:pPr>
            <w:r w:rsidRPr="00327CB5">
              <w:rPr>
                <w:rFonts w:ascii="Century Gothic" w:hAnsi="Century Gothic" w:cs="Tahoma"/>
                <w:sz w:val="24"/>
                <w:szCs w:val="24"/>
              </w:rPr>
              <w:t>Páginas de la 320 a la 339.</w:t>
            </w:r>
          </w:p>
        </w:tc>
        <w:tc>
          <w:tcPr>
            <w:tcW w:w="1984" w:type="dxa"/>
            <w:vAlign w:val="center"/>
          </w:tcPr>
          <w:p w14:paraId="0F88FC55" w14:textId="18E27B44" w:rsidR="000578B0" w:rsidRPr="00AD1658" w:rsidRDefault="000578B0" w:rsidP="000578B0">
            <w:pPr>
              <w:jc w:val="center"/>
              <w:rPr>
                <w:rFonts w:ascii="Century Gothic" w:hAnsi="Century Gothic"/>
              </w:rPr>
            </w:pPr>
            <w:r w:rsidRPr="00327CB5">
              <w:rPr>
                <w:rFonts w:ascii="Century Gothic" w:hAnsi="Century Gothic" w:cs="Tahoma"/>
                <w:kern w:val="0"/>
                <w:sz w:val="24"/>
                <w:szCs w:val="24"/>
              </w:rPr>
              <w:t>La Feria de los sentimientos.</w:t>
            </w:r>
          </w:p>
        </w:tc>
        <w:tc>
          <w:tcPr>
            <w:tcW w:w="5181" w:type="dxa"/>
            <w:vAlign w:val="center"/>
          </w:tcPr>
          <w:p w14:paraId="1544F34B" w14:textId="0D9D5F56" w:rsidR="000578B0" w:rsidRPr="00AD1658" w:rsidRDefault="000578B0" w:rsidP="000578B0">
            <w:pPr>
              <w:jc w:val="both"/>
              <w:rPr>
                <w:rFonts w:ascii="Century Gothic" w:hAnsi="Century Gothic"/>
              </w:rPr>
            </w:pPr>
            <w:proofErr w:type="gramStart"/>
            <w:r w:rsidRPr="00327CB5">
              <w:rPr>
                <w:rFonts w:ascii="Century Gothic" w:hAnsi="Century Gothic" w:cs="Tahoma"/>
                <w:kern w:val="0"/>
                <w:sz w:val="24"/>
                <w:szCs w:val="24"/>
              </w:rPr>
              <w:t>Reconocer</w:t>
            </w:r>
            <w:proofErr w:type="gramEnd"/>
            <w:r w:rsidRPr="00327CB5">
              <w:rPr>
                <w:rFonts w:ascii="Century Gothic" w:hAnsi="Century Gothic" w:cs="Tahoma"/>
                <w:kern w:val="0"/>
                <w:sz w:val="24"/>
                <w:szCs w:val="24"/>
              </w:rPr>
              <w:t xml:space="preserve"> que existen formas asertivas de expresar sus sentimientos. También organizar, junto con sus compañeras y compañeros, un espacio denominado la Feria de los sentimientos donde la comunidad interactúe e intercambie experiencias de placer y displacer.</w:t>
            </w:r>
          </w:p>
        </w:tc>
      </w:tr>
      <w:tr w:rsidR="000578B0" w:rsidRPr="00AD1658" w14:paraId="28903A2D" w14:textId="77777777" w:rsidTr="000578B0">
        <w:tc>
          <w:tcPr>
            <w:tcW w:w="2547" w:type="dxa"/>
            <w:vAlign w:val="center"/>
          </w:tcPr>
          <w:p w14:paraId="66EAD28D" w14:textId="2F9B2909" w:rsidR="000578B0" w:rsidRPr="000578B0" w:rsidRDefault="000578B0" w:rsidP="000578B0">
            <w:pPr>
              <w:jc w:val="center"/>
              <w:rPr>
                <w:rFonts w:ascii="Century Gothic" w:hAnsi="Century Gothic"/>
                <w:b/>
                <w:bCs/>
              </w:rPr>
            </w:pPr>
            <w:r w:rsidRPr="000578B0">
              <w:rPr>
                <w:rFonts w:ascii="Century Gothic" w:hAnsi="Century Gothic"/>
                <w:b/>
                <w:bCs/>
              </w:rPr>
              <w:t>De lo humano y lo comunitario</w:t>
            </w:r>
          </w:p>
        </w:tc>
        <w:tc>
          <w:tcPr>
            <w:tcW w:w="2835" w:type="dxa"/>
            <w:vAlign w:val="center"/>
          </w:tcPr>
          <w:p w14:paraId="599C58D7" w14:textId="7EFB41EA" w:rsidR="000578B0" w:rsidRPr="00AD1658" w:rsidRDefault="000578B0" w:rsidP="000578B0">
            <w:pPr>
              <w:jc w:val="center"/>
              <w:rPr>
                <w:rFonts w:ascii="Century Gothic" w:hAnsi="Century Gothic"/>
              </w:rPr>
            </w:pPr>
            <w:r w:rsidRPr="000578B0">
              <w:rPr>
                <w:rFonts w:ascii="Century Gothic" w:hAnsi="Century Gothic"/>
              </w:rPr>
              <w:t>Inclusión</w:t>
            </w:r>
            <w:r>
              <w:rPr>
                <w:rFonts w:ascii="Century Gothic" w:hAnsi="Century Gothic"/>
              </w:rPr>
              <w:t xml:space="preserve">, </w:t>
            </w:r>
            <w:r w:rsidRPr="000578B0">
              <w:rPr>
                <w:rFonts w:ascii="Century Gothic" w:hAnsi="Century Gothic"/>
              </w:rPr>
              <w:t>Pensamiento crítico</w:t>
            </w:r>
            <w:r>
              <w:rPr>
                <w:rFonts w:ascii="Century Gothic" w:hAnsi="Century Gothic"/>
              </w:rPr>
              <w:t xml:space="preserve">, </w:t>
            </w:r>
            <w:r w:rsidRPr="000578B0">
              <w:rPr>
                <w:rFonts w:ascii="Century Gothic" w:hAnsi="Century Gothic"/>
              </w:rPr>
              <w:t>Igualdad de género</w:t>
            </w:r>
            <w:r>
              <w:rPr>
                <w:rFonts w:ascii="Century Gothic" w:hAnsi="Century Gothic"/>
              </w:rPr>
              <w:t xml:space="preserve">, </w:t>
            </w:r>
            <w:r w:rsidRPr="000578B0">
              <w:rPr>
                <w:rFonts w:ascii="Century Gothic" w:hAnsi="Century Gothic"/>
              </w:rPr>
              <w:t>Artes y experiencias estéticas</w:t>
            </w:r>
            <w:r>
              <w:rPr>
                <w:rFonts w:ascii="Century Gothic" w:hAnsi="Century Gothic"/>
              </w:rPr>
              <w:t>.</w:t>
            </w:r>
          </w:p>
        </w:tc>
        <w:tc>
          <w:tcPr>
            <w:tcW w:w="1843" w:type="dxa"/>
            <w:vAlign w:val="center"/>
          </w:tcPr>
          <w:p w14:paraId="695F29D3" w14:textId="77777777" w:rsidR="000578B0" w:rsidRPr="00327CB5" w:rsidRDefault="000578B0" w:rsidP="000578B0">
            <w:pPr>
              <w:jc w:val="center"/>
              <w:rPr>
                <w:rFonts w:ascii="Century Gothic" w:hAnsi="Century Gothic" w:cs="Tahoma"/>
                <w:sz w:val="24"/>
                <w:szCs w:val="24"/>
              </w:rPr>
            </w:pPr>
            <w:r w:rsidRPr="00327CB5">
              <w:rPr>
                <w:rFonts w:ascii="Century Gothic" w:hAnsi="Century Gothic" w:cs="Tahoma"/>
                <w:sz w:val="24"/>
                <w:szCs w:val="24"/>
              </w:rPr>
              <w:t>Aula.</w:t>
            </w:r>
          </w:p>
          <w:p w14:paraId="5E092657" w14:textId="02D47DB7" w:rsidR="000578B0" w:rsidRPr="00AD1658" w:rsidRDefault="000578B0" w:rsidP="000578B0">
            <w:pPr>
              <w:jc w:val="center"/>
              <w:rPr>
                <w:rFonts w:ascii="Century Gothic" w:hAnsi="Century Gothic"/>
              </w:rPr>
            </w:pPr>
            <w:r w:rsidRPr="00327CB5">
              <w:rPr>
                <w:rFonts w:ascii="Century Gothic" w:hAnsi="Century Gothic" w:cs="Tahoma"/>
                <w:sz w:val="24"/>
                <w:szCs w:val="24"/>
              </w:rPr>
              <w:t>Páginas de la 326 a la 337.</w:t>
            </w:r>
          </w:p>
        </w:tc>
        <w:tc>
          <w:tcPr>
            <w:tcW w:w="1984" w:type="dxa"/>
            <w:vAlign w:val="center"/>
          </w:tcPr>
          <w:p w14:paraId="2010C993" w14:textId="14BB5AF8" w:rsidR="000578B0" w:rsidRPr="00AD1658" w:rsidRDefault="000578B0" w:rsidP="000578B0">
            <w:pPr>
              <w:jc w:val="center"/>
              <w:rPr>
                <w:rFonts w:ascii="Century Gothic" w:hAnsi="Century Gothic"/>
              </w:rPr>
            </w:pPr>
            <w:r w:rsidRPr="00327CB5">
              <w:rPr>
                <w:rFonts w:ascii="Century Gothic" w:hAnsi="Century Gothic" w:cs="Tahoma"/>
                <w:kern w:val="0"/>
                <w:sz w:val="24"/>
                <w:szCs w:val="24"/>
              </w:rPr>
              <w:t>La ruta de mis emociones.</w:t>
            </w:r>
          </w:p>
        </w:tc>
        <w:tc>
          <w:tcPr>
            <w:tcW w:w="5181" w:type="dxa"/>
            <w:vAlign w:val="center"/>
          </w:tcPr>
          <w:p w14:paraId="3F11CA71" w14:textId="48DFD7CA" w:rsidR="000578B0" w:rsidRPr="00AD1658" w:rsidRDefault="000578B0" w:rsidP="000578B0">
            <w:pPr>
              <w:jc w:val="both"/>
              <w:rPr>
                <w:rFonts w:ascii="Century Gothic" w:hAnsi="Century Gothic"/>
              </w:rPr>
            </w:pPr>
            <w:proofErr w:type="gramStart"/>
            <w:r w:rsidRPr="00327CB5">
              <w:rPr>
                <w:rFonts w:ascii="Century Gothic" w:hAnsi="Century Gothic" w:cs="Tahoma"/>
                <w:kern w:val="0"/>
                <w:sz w:val="24"/>
                <w:szCs w:val="24"/>
              </w:rPr>
              <w:t>Reconocer</w:t>
            </w:r>
            <w:proofErr w:type="gramEnd"/>
            <w:r w:rsidRPr="00327CB5">
              <w:rPr>
                <w:rFonts w:ascii="Century Gothic" w:hAnsi="Century Gothic" w:cs="Tahoma"/>
                <w:kern w:val="0"/>
                <w:sz w:val="24"/>
                <w:szCs w:val="24"/>
              </w:rPr>
              <w:t xml:space="preserve"> que la diversidad de estados de ánimo influye en la vida cotidiana. Elaborar el álbum “La ruta de mis emociones”, con el fin de valorar la empatía con las personas que los rodean.</w:t>
            </w:r>
          </w:p>
        </w:tc>
      </w:tr>
    </w:tbl>
    <w:p w14:paraId="099E919D" w14:textId="77777777" w:rsidR="002F59BC" w:rsidRDefault="002F59BC"/>
    <w:sectPr w:rsidR="002F59BC" w:rsidSect="004959D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7FF6C" w14:textId="77777777" w:rsidR="004959DC" w:rsidRDefault="004959DC" w:rsidP="000811FC">
      <w:pPr>
        <w:spacing w:after="0" w:line="240" w:lineRule="auto"/>
      </w:pPr>
      <w:r>
        <w:separator/>
      </w:r>
    </w:p>
  </w:endnote>
  <w:endnote w:type="continuationSeparator" w:id="0">
    <w:p w14:paraId="61B0F7F5" w14:textId="77777777" w:rsidR="004959DC" w:rsidRDefault="004959DC" w:rsidP="0008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14AAB" w14:textId="77777777" w:rsidR="004959DC" w:rsidRDefault="004959DC" w:rsidP="000811FC">
      <w:pPr>
        <w:spacing w:after="0" w:line="240" w:lineRule="auto"/>
      </w:pPr>
      <w:r>
        <w:separator/>
      </w:r>
    </w:p>
  </w:footnote>
  <w:footnote w:type="continuationSeparator" w:id="0">
    <w:p w14:paraId="594A4BF3" w14:textId="77777777" w:rsidR="004959DC" w:rsidRDefault="004959DC" w:rsidP="00081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C74C" w14:textId="35B18579" w:rsidR="000811FC" w:rsidRPr="000811FC" w:rsidRDefault="000811FC" w:rsidP="000811FC">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40CFCC4E" wp14:editId="58D2CE0D">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353342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0578B0"/>
    <w:rsid w:val="000811FC"/>
    <w:rsid w:val="002C7D29"/>
    <w:rsid w:val="002F59BC"/>
    <w:rsid w:val="003F05D5"/>
    <w:rsid w:val="004104AA"/>
    <w:rsid w:val="004959DC"/>
    <w:rsid w:val="005F6B51"/>
    <w:rsid w:val="009A5BC5"/>
    <w:rsid w:val="00AD1658"/>
    <w:rsid w:val="00B474F4"/>
    <w:rsid w:val="00B51E4C"/>
    <w:rsid w:val="00C35B52"/>
    <w:rsid w:val="00CD5F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1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1FC"/>
  </w:style>
  <w:style w:type="paragraph" w:styleId="Piedepgina">
    <w:name w:val="footer"/>
    <w:basedOn w:val="Normal"/>
    <w:link w:val="PiedepginaCar"/>
    <w:uiPriority w:val="99"/>
    <w:unhideWhenUsed/>
    <w:rsid w:val="000811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545916">
      <w:bodyDiv w:val="1"/>
      <w:marLeft w:val="0"/>
      <w:marRight w:val="0"/>
      <w:marTop w:val="0"/>
      <w:marBottom w:val="0"/>
      <w:divBdr>
        <w:top w:val="none" w:sz="0" w:space="0" w:color="auto"/>
        <w:left w:val="none" w:sz="0" w:space="0" w:color="auto"/>
        <w:bottom w:val="none" w:sz="0" w:space="0" w:color="auto"/>
        <w:right w:val="none" w:sz="0" w:space="0" w:color="auto"/>
      </w:divBdr>
    </w:div>
    <w:div w:id="1012954428">
      <w:bodyDiv w:val="1"/>
      <w:marLeft w:val="0"/>
      <w:marRight w:val="0"/>
      <w:marTop w:val="0"/>
      <w:marBottom w:val="0"/>
      <w:divBdr>
        <w:top w:val="none" w:sz="0" w:space="0" w:color="auto"/>
        <w:left w:val="none" w:sz="0" w:space="0" w:color="auto"/>
        <w:bottom w:val="none" w:sz="0" w:space="0" w:color="auto"/>
        <w:right w:val="none" w:sz="0" w:space="0" w:color="auto"/>
      </w:divBdr>
    </w:div>
    <w:div w:id="16741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325</Words>
  <Characters>1791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3</cp:revision>
  <dcterms:created xsi:type="dcterms:W3CDTF">2023-08-21T19:57:00Z</dcterms:created>
  <dcterms:modified xsi:type="dcterms:W3CDTF">2024-04-07T02:30:00Z</dcterms:modified>
  <cp:category>www.DidacticosMx.com</cp:category>
</cp:coreProperties>
</file>