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5ACE" w14:textId="77777777" w:rsidR="004120B4" w:rsidRDefault="004120B4" w:rsidP="004120B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17:</w:t>
      </w:r>
    </w:p>
    <w:p w14:paraId="3EC38F64" w14:textId="77777777" w:rsidR="004120B4" w:rsidRDefault="004120B4" w:rsidP="004120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17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F60C139" w14:textId="77777777" w:rsidR="004120B4" w:rsidRDefault="004120B4" w:rsidP="004120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DE19600" w14:textId="77777777" w:rsidR="004120B4" w:rsidRDefault="004120B4" w:rsidP="004120B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244663B" w14:textId="77777777" w:rsidR="004120B4" w:rsidRDefault="004120B4" w:rsidP="004120B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17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35"/>
        <w:gridCol w:w="2997"/>
        <w:gridCol w:w="1723"/>
        <w:gridCol w:w="2882"/>
        <w:gridCol w:w="3753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82520">
        <w:tc>
          <w:tcPr>
            <w:tcW w:w="3078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5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82520" w:rsidRPr="00AD1658" w14:paraId="3E0896F7" w14:textId="77777777" w:rsidTr="00282520">
        <w:tc>
          <w:tcPr>
            <w:tcW w:w="3078" w:type="dxa"/>
            <w:vAlign w:val="center"/>
          </w:tcPr>
          <w:p w14:paraId="2615CD50" w14:textId="68195B9F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6" w:type="dxa"/>
            <w:vAlign w:val="center"/>
          </w:tcPr>
          <w:p w14:paraId="424182F0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7884D6FD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40EA2AF7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4076F5E0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4E37EAF7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523DF6CC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Páginas de la 168 a la 183.</w:t>
            </w:r>
          </w:p>
        </w:tc>
        <w:tc>
          <w:tcPr>
            <w:tcW w:w="2915" w:type="dxa"/>
            <w:vAlign w:val="center"/>
          </w:tcPr>
          <w:p w14:paraId="1C02C1AD" w14:textId="54DE81F3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Desalinizando el agua.</w:t>
            </w:r>
          </w:p>
        </w:tc>
        <w:tc>
          <w:tcPr>
            <w:tcW w:w="3805" w:type="dxa"/>
            <w:vAlign w:val="center"/>
          </w:tcPr>
          <w:p w14:paraId="30CCDB5F" w14:textId="47AA1A9D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Realizar el prototipo de un desalinizador de agua para purificarla y separarla de concentraciones de sal, utilizando propiedades del agua y la energía térmica.</w:t>
            </w:r>
          </w:p>
        </w:tc>
      </w:tr>
      <w:tr w:rsidR="00282520" w:rsidRPr="00AD1658" w14:paraId="11363062" w14:textId="77777777" w:rsidTr="00282520">
        <w:tc>
          <w:tcPr>
            <w:tcW w:w="3078" w:type="dxa"/>
            <w:vAlign w:val="center"/>
          </w:tcPr>
          <w:p w14:paraId="6A945832" w14:textId="18E9E2AE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6" w:type="dxa"/>
            <w:vAlign w:val="center"/>
          </w:tcPr>
          <w:p w14:paraId="5346FEF9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78EF1D09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A29A89D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68CCDD70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8086788" w14:textId="34FA4B3E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21F895C5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5789F6D" w14:textId="58966AC0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Páginas de la 132 a la 149.</w:t>
            </w:r>
          </w:p>
        </w:tc>
        <w:tc>
          <w:tcPr>
            <w:tcW w:w="2915" w:type="dxa"/>
            <w:vAlign w:val="center"/>
          </w:tcPr>
          <w:p w14:paraId="0F88FC55" w14:textId="72EB8DB0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En sus marcas… Listos… ¡A nutrirnos y desarrollarnos!</w:t>
            </w:r>
          </w:p>
        </w:tc>
        <w:tc>
          <w:tcPr>
            <w:tcW w:w="3805" w:type="dxa"/>
            <w:vAlign w:val="center"/>
          </w:tcPr>
          <w:p w14:paraId="1544F34B" w14:textId="58E69C21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Investigar sobre la nutrición de plantas y animales para entender la relación que tienen estos seres vivos con los factores físicos del medio ambiente. A partir de las actividades podrán elaborar con su comunidad un Jardín comestible.</w:t>
            </w:r>
          </w:p>
        </w:tc>
      </w:tr>
      <w:tr w:rsidR="00282520" w:rsidRPr="00AD1658" w14:paraId="28903A2D" w14:textId="77777777" w:rsidTr="00282520">
        <w:tc>
          <w:tcPr>
            <w:tcW w:w="3078" w:type="dxa"/>
            <w:vAlign w:val="center"/>
          </w:tcPr>
          <w:p w14:paraId="66EAD28D" w14:textId="193523D2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26" w:type="dxa"/>
            <w:vAlign w:val="center"/>
          </w:tcPr>
          <w:p w14:paraId="430118F4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17F1312B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135654DF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346938D2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4386A27A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22007309" w14:textId="77777777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E092657" w14:textId="0649D9F8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Páginas de la 184 a la 195.</w:t>
            </w:r>
          </w:p>
        </w:tc>
        <w:tc>
          <w:tcPr>
            <w:tcW w:w="2915" w:type="dxa"/>
            <w:vAlign w:val="center"/>
          </w:tcPr>
          <w:p w14:paraId="2010C993" w14:textId="34BA3CBA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La Tierra, la luz del Sol y la cara oculta de la Luna.</w:t>
            </w:r>
          </w:p>
        </w:tc>
        <w:tc>
          <w:tcPr>
            <w:tcW w:w="3805" w:type="dxa"/>
            <w:vAlign w:val="center"/>
          </w:tcPr>
          <w:p w14:paraId="3F11CA71" w14:textId="3E7525C4" w:rsidR="00282520" w:rsidRPr="00282520" w:rsidRDefault="00282520" w:rsidP="00282520">
            <w:pPr>
              <w:rPr>
                <w:rFonts w:ascii="Century Gothic" w:hAnsi="Century Gothic"/>
                <w:sz w:val="24"/>
                <w:szCs w:val="24"/>
              </w:rPr>
            </w:pPr>
            <w:r w:rsidRPr="00282520">
              <w:rPr>
                <w:rFonts w:ascii="Century Gothic" w:hAnsi="Century Gothic"/>
                <w:sz w:val="24"/>
                <w:szCs w:val="24"/>
              </w:rPr>
              <w:t>Realizar un Calendario lunar y conocer cómo los movimientos de la Tierra, el Sol y la Luna generan eventos físicos naturales, tales como el día, la noche y los eclipses, así como las fases de la Luna.</w:t>
            </w:r>
          </w:p>
        </w:tc>
      </w:tr>
    </w:tbl>
    <w:p w14:paraId="099E919D" w14:textId="77777777" w:rsidR="002F59BC" w:rsidRDefault="002F59BC"/>
    <w:sectPr w:rsidR="002F59BC" w:rsidSect="006A35E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F355" w14:textId="77777777" w:rsidR="00DF7B3F" w:rsidRDefault="00DF7B3F" w:rsidP="00D46909">
      <w:pPr>
        <w:spacing w:after="0" w:line="240" w:lineRule="auto"/>
      </w:pPr>
      <w:r>
        <w:separator/>
      </w:r>
    </w:p>
  </w:endnote>
  <w:endnote w:type="continuationSeparator" w:id="0">
    <w:p w14:paraId="686396B2" w14:textId="77777777" w:rsidR="00DF7B3F" w:rsidRDefault="00DF7B3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A9126" w14:textId="77777777" w:rsidR="00DF7B3F" w:rsidRDefault="00DF7B3F" w:rsidP="00D46909">
      <w:pPr>
        <w:spacing w:after="0" w:line="240" w:lineRule="auto"/>
      </w:pPr>
      <w:r>
        <w:separator/>
      </w:r>
    </w:p>
  </w:footnote>
  <w:footnote w:type="continuationSeparator" w:id="0">
    <w:p w14:paraId="62AEB418" w14:textId="77777777" w:rsidR="00DF7B3F" w:rsidRDefault="00DF7B3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82520"/>
    <w:rsid w:val="002F59BC"/>
    <w:rsid w:val="004104AA"/>
    <w:rsid w:val="004120B4"/>
    <w:rsid w:val="0043679E"/>
    <w:rsid w:val="006A35EC"/>
    <w:rsid w:val="007B07F8"/>
    <w:rsid w:val="00800003"/>
    <w:rsid w:val="00966396"/>
    <w:rsid w:val="009A5BC5"/>
    <w:rsid w:val="00AD1658"/>
    <w:rsid w:val="00B474F4"/>
    <w:rsid w:val="00B51E4C"/>
    <w:rsid w:val="00BA44EF"/>
    <w:rsid w:val="00BD0E66"/>
    <w:rsid w:val="00D46909"/>
    <w:rsid w:val="00D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1732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2024-05-15T05:02:00Z</dcterms:modified>
  <cp:category>www.DidacticosMX.com</cp:category>
</cp:coreProperties>
</file>