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E20A" w14:textId="180251CE" w:rsidR="00AF60F3" w:rsidRDefault="00AF60F3" w:rsidP="00AF60F3">
      <w:pPr>
        <w:jc w:val="center"/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</w:pPr>
      <w:bookmarkStart w:id="0" w:name="_Hlk143517717"/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 xml:space="preserve">PROYECTOS DEL PERIODO 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14</w:t>
      </w:r>
      <w:r>
        <w:rPr>
          <w:rFonts w:ascii="Century Gothic" w:hAnsi="Century Gothic"/>
          <w:b/>
          <w:bCs/>
          <w:color w:val="0D0D0D" w:themeColor="text1" w:themeTint="F2"/>
          <w:sz w:val="44"/>
          <w:szCs w:val="44"/>
        </w:rPr>
        <w:t>:</w:t>
      </w:r>
    </w:p>
    <w:p w14:paraId="4BFA9B1C" w14:textId="73A9EA07" w:rsidR="00AF60F3" w:rsidRDefault="00AF60F3" w:rsidP="00AF60F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En este documento se encuentra la dosificación del Periodo de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. Aquí puede consultar los contenidos, campos y ejes de cada uno de los proyectos. Es muy importante que sepa que: </w:t>
      </w:r>
      <w:r>
        <w:rPr>
          <w:rFonts w:ascii="Century Gothic" w:hAnsi="Century Gothic"/>
          <w:color w:val="0D0D0D" w:themeColor="text1" w:themeTint="F2"/>
          <w:sz w:val="36"/>
          <w:szCs w:val="36"/>
          <w:u w:val="single"/>
        </w:rPr>
        <w:t>ESTOS PROYECTOS SE PUEDEN APLICAR EN CUALQUIER MOMENTO DEL AÑO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>.</w:t>
      </w:r>
    </w:p>
    <w:p w14:paraId="681D5637" w14:textId="77777777" w:rsidR="00AF60F3" w:rsidRDefault="00AF60F3" w:rsidP="00AF60F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Con esta información, comprenderás mejor los objetivos de cada proyecto y cómo se integran diferentes áreas del conocimiento.</w:t>
      </w:r>
    </w:p>
    <w:p w14:paraId="48815C0A" w14:textId="77777777" w:rsidR="00AF60F3" w:rsidRDefault="00AF60F3" w:rsidP="00AF60F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>Nuestros proyectos son únicos, ya que combinan contenidos y habilidades de dos o más campos de formación en una misma propuesta. De esta forma, la planeación se ajusta a los planes y programas de estudio de la Nueva Escuela Mexicana.</w:t>
      </w:r>
    </w:p>
    <w:p w14:paraId="25B4C03B" w14:textId="5D44E669" w:rsidR="00AF60F3" w:rsidRDefault="00AF60F3" w:rsidP="00AF60F3">
      <w:pPr>
        <w:jc w:val="both"/>
        <w:rPr>
          <w:rFonts w:ascii="Century Gothic" w:hAnsi="Century Gothic"/>
          <w:color w:val="0D0D0D" w:themeColor="text1" w:themeTint="F2"/>
          <w:sz w:val="36"/>
          <w:szCs w:val="36"/>
        </w:rPr>
      </w:pP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El paquete del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 xml:space="preserve">PERIODO </w:t>
      </w:r>
      <w:r>
        <w:rPr>
          <w:rFonts w:ascii="Century Gothic" w:hAnsi="Century Gothic"/>
          <w:b/>
          <w:bCs/>
          <w:color w:val="0D0D0D" w:themeColor="text1" w:themeTint="F2"/>
          <w:sz w:val="36"/>
          <w:szCs w:val="36"/>
        </w:rPr>
        <w:t>14</w:t>
      </w:r>
      <w:r>
        <w:rPr>
          <w:rFonts w:ascii="Century Gothic" w:hAnsi="Century Gothic"/>
          <w:color w:val="0D0D0D" w:themeColor="text1" w:themeTint="F2"/>
          <w:sz w:val="36"/>
          <w:szCs w:val="36"/>
        </w:rPr>
        <w:t xml:space="preserve"> incluye 3 proyectos didácticos.</w:t>
      </w:r>
    </w:p>
    <w:p w14:paraId="758D200F" w14:textId="77777777" w:rsidR="00AF60F3" w:rsidRDefault="00AF60F3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br w:type="page"/>
      </w:r>
    </w:p>
    <w:p w14:paraId="19ADF972" w14:textId="65291EBD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D46909">
        <w:rPr>
          <w:rFonts w:ascii="Century Gothic" w:hAnsi="Century Gothic"/>
          <w:b/>
          <w:bCs/>
          <w:sz w:val="32"/>
          <w:szCs w:val="32"/>
        </w:rPr>
        <w:lastRenderedPageBreak/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3"/>
        <w:gridCol w:w="2998"/>
        <w:gridCol w:w="1723"/>
        <w:gridCol w:w="2875"/>
        <w:gridCol w:w="3751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87344">
        <w:tc>
          <w:tcPr>
            <w:tcW w:w="3082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3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87344" w:rsidRPr="00AD1658" w14:paraId="3E0896F7" w14:textId="77777777" w:rsidTr="00F87344">
        <w:tc>
          <w:tcPr>
            <w:tcW w:w="3082" w:type="dxa"/>
            <w:vAlign w:val="center"/>
          </w:tcPr>
          <w:p w14:paraId="2615CD50" w14:textId="325778E2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28" w:type="dxa"/>
            <w:vAlign w:val="center"/>
          </w:tcPr>
          <w:p w14:paraId="55F2574D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4D0BFD63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004A5B1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D555244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2D724138" w14:textId="5543CE9E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107381B8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3A443621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Páginas de la 26 a la 43.</w:t>
            </w:r>
          </w:p>
        </w:tc>
        <w:tc>
          <w:tcPr>
            <w:tcW w:w="2911" w:type="dxa"/>
            <w:vAlign w:val="center"/>
          </w:tcPr>
          <w:p w14:paraId="1C02C1AD" w14:textId="1FBFB15C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 xml:space="preserve"> Las profesiones y los oficios no tienen género.</w:t>
            </w:r>
          </w:p>
        </w:tc>
        <w:tc>
          <w:tcPr>
            <w:tcW w:w="3803" w:type="dxa"/>
            <w:vAlign w:val="center"/>
          </w:tcPr>
          <w:p w14:paraId="30CCDB5F" w14:textId="769FA4CF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Trabajar con los textos discontinuos al reflexionar sobre las profesiones y los oficios que pueden desarrollarse por mujeres y hombres, sin distinción. Compartir con sus compañeros de la escuela lo que descubrieron, por medio de una exposición del producto final.</w:t>
            </w:r>
          </w:p>
        </w:tc>
      </w:tr>
      <w:tr w:rsidR="00F87344" w:rsidRPr="00AD1658" w14:paraId="11363062" w14:textId="77777777" w:rsidTr="00F87344">
        <w:tc>
          <w:tcPr>
            <w:tcW w:w="3082" w:type="dxa"/>
            <w:vAlign w:val="center"/>
          </w:tcPr>
          <w:p w14:paraId="6A945832" w14:textId="42066EB6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28" w:type="dxa"/>
            <w:vAlign w:val="center"/>
          </w:tcPr>
          <w:p w14:paraId="79007726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1E7F314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5A650CEC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8086788" w14:textId="34FA4B3E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65829F18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5F1E4C56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Páginas de la 234 a la 245.</w:t>
            </w:r>
          </w:p>
        </w:tc>
        <w:tc>
          <w:tcPr>
            <w:tcW w:w="2911" w:type="dxa"/>
            <w:vAlign w:val="center"/>
          </w:tcPr>
          <w:p w14:paraId="0F88FC55" w14:textId="1C5BD65A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Pasado y presente de la igualdad entre personas.</w:t>
            </w:r>
          </w:p>
        </w:tc>
        <w:tc>
          <w:tcPr>
            <w:tcW w:w="3803" w:type="dxa"/>
            <w:vAlign w:val="center"/>
          </w:tcPr>
          <w:p w14:paraId="1544F34B" w14:textId="0665EBEB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Construir un kamishibai, un teatro de papel estilo butai, para presentar escenas que contribuyan a transformar los estereotipos de género a favor de la igualdad de género y el respeto a la dignidad de las niñas y los niños.</w:t>
            </w:r>
          </w:p>
        </w:tc>
      </w:tr>
      <w:tr w:rsidR="00F87344" w:rsidRPr="00AD1658" w14:paraId="28903A2D" w14:textId="77777777" w:rsidTr="00F87344">
        <w:tc>
          <w:tcPr>
            <w:tcW w:w="3082" w:type="dxa"/>
            <w:vAlign w:val="center"/>
          </w:tcPr>
          <w:p w14:paraId="66EAD28D" w14:textId="1D5CF004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4A5C438B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50980FAD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49E3410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599C58D7" w14:textId="4386A27A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F183D0A" w14:textId="77777777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2FEA519F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Páginas de la 278 a la 299.</w:t>
            </w:r>
          </w:p>
        </w:tc>
        <w:tc>
          <w:tcPr>
            <w:tcW w:w="2911" w:type="dxa"/>
            <w:vAlign w:val="center"/>
          </w:tcPr>
          <w:p w14:paraId="2010C993" w14:textId="2675FF88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¡Luces, cámara, equidad de género!</w:t>
            </w:r>
          </w:p>
        </w:tc>
        <w:tc>
          <w:tcPr>
            <w:tcW w:w="3803" w:type="dxa"/>
            <w:vAlign w:val="center"/>
          </w:tcPr>
          <w:p w14:paraId="3F11CA71" w14:textId="7139A22A" w:rsidR="00F87344" w:rsidRPr="00F87344" w:rsidRDefault="00F87344" w:rsidP="00F87344">
            <w:pPr>
              <w:rPr>
                <w:rFonts w:ascii="Century Gothic" w:hAnsi="Century Gothic"/>
                <w:sz w:val="24"/>
                <w:szCs w:val="24"/>
              </w:rPr>
            </w:pPr>
            <w:r w:rsidRPr="00F87344">
              <w:rPr>
                <w:rFonts w:ascii="Century Gothic" w:hAnsi="Century Gothic"/>
                <w:sz w:val="24"/>
                <w:szCs w:val="24"/>
              </w:rPr>
              <w:t>Colaborar con su comunidad para crear videos sobre la equidad de género que muestren la importancia de lograr la igualdad entre niñas y niños en los juegos, las actividades de la escuela y el hogar. Con ello promover que todas las personas sean tratadas con el mismo valor y respeto.</w:t>
            </w:r>
          </w:p>
        </w:tc>
      </w:tr>
    </w:tbl>
    <w:p w14:paraId="099E919D" w14:textId="77777777" w:rsidR="002F59BC" w:rsidRDefault="002F59BC"/>
    <w:sectPr w:rsidR="002F59BC" w:rsidSect="00554B20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7919D" w14:textId="77777777" w:rsidR="00554B20" w:rsidRDefault="00554B20" w:rsidP="00D46909">
      <w:pPr>
        <w:spacing w:after="0" w:line="240" w:lineRule="auto"/>
      </w:pPr>
      <w:r>
        <w:separator/>
      </w:r>
    </w:p>
  </w:endnote>
  <w:endnote w:type="continuationSeparator" w:id="0">
    <w:p w14:paraId="7D6D1C49" w14:textId="77777777" w:rsidR="00554B20" w:rsidRDefault="00554B20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AF89" w14:textId="77777777" w:rsidR="00554B20" w:rsidRDefault="00554B20" w:rsidP="00D46909">
      <w:pPr>
        <w:spacing w:after="0" w:line="240" w:lineRule="auto"/>
      </w:pPr>
      <w:r>
        <w:separator/>
      </w:r>
    </w:p>
  </w:footnote>
  <w:footnote w:type="continuationSeparator" w:id="0">
    <w:p w14:paraId="13356136" w14:textId="77777777" w:rsidR="00554B20" w:rsidRDefault="00554B20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54B20"/>
    <w:rsid w:val="007B07F8"/>
    <w:rsid w:val="00800003"/>
    <w:rsid w:val="00966396"/>
    <w:rsid w:val="009A5BC5"/>
    <w:rsid w:val="00AD1658"/>
    <w:rsid w:val="00AF60F3"/>
    <w:rsid w:val="00B4602D"/>
    <w:rsid w:val="00B474F4"/>
    <w:rsid w:val="00B51E4C"/>
    <w:rsid w:val="00BD0E66"/>
    <w:rsid w:val="00D46909"/>
    <w:rsid w:val="00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lastModifiedBy>G3317</cp:lastModifiedBy>
  <cp:revision>2</cp:revision>
  <dcterms:created xsi:type="dcterms:W3CDTF">2023-08-21T19:57:00Z</dcterms:created>
  <dcterms:modified xsi:type="dcterms:W3CDTF">2024-04-07T02:11:00Z</dcterms:modified>
  <cp:category>www.DidacticosMx.com</cp:category>
</cp:coreProperties>
</file>