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F99E" w14:textId="77777777" w:rsidR="00196B10" w:rsidRDefault="00196B10" w:rsidP="00196B1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16:</w:t>
      </w:r>
    </w:p>
    <w:p w14:paraId="28BAF7A2" w14:textId="77777777" w:rsidR="00196B10" w:rsidRDefault="00196B10" w:rsidP="00196B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7BAB9C0" w14:textId="77777777" w:rsidR="00196B10" w:rsidRDefault="00196B10" w:rsidP="00196B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174C18F" w14:textId="77777777" w:rsidR="00196B10" w:rsidRDefault="00196B10" w:rsidP="00196B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7325760" w14:textId="77777777" w:rsidR="00196B10" w:rsidRDefault="00196B10" w:rsidP="00196B1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16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0"/>
        <w:gridCol w:w="2993"/>
        <w:gridCol w:w="1723"/>
        <w:gridCol w:w="2874"/>
        <w:gridCol w:w="3760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F31DD2">
        <w:tc>
          <w:tcPr>
            <w:tcW w:w="3079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7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6214D" w:rsidRPr="00AD1658" w14:paraId="3E0896F7" w14:textId="77777777" w:rsidTr="00F31DD2">
        <w:tc>
          <w:tcPr>
            <w:tcW w:w="3079" w:type="dxa"/>
            <w:vAlign w:val="center"/>
          </w:tcPr>
          <w:p w14:paraId="2615CD50" w14:textId="352A537D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27" w:type="dxa"/>
            <w:vAlign w:val="center"/>
          </w:tcPr>
          <w:p w14:paraId="3FE6BD25" w14:textId="77777777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244E8DE" w14:textId="77777777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11B2844" w14:textId="77777777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D724138" w14:textId="5543CE9E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B324721" w14:textId="77777777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72DF77F4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Páginas de la 104 a la 119.</w:t>
            </w:r>
          </w:p>
        </w:tc>
        <w:tc>
          <w:tcPr>
            <w:tcW w:w="2911" w:type="dxa"/>
            <w:vAlign w:val="center"/>
          </w:tcPr>
          <w:p w14:paraId="1C02C1AD" w14:textId="10CCAEB0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Un día en la escuela.</w:t>
            </w:r>
          </w:p>
        </w:tc>
        <w:tc>
          <w:tcPr>
            <w:tcW w:w="3807" w:type="dxa"/>
            <w:vAlign w:val="center"/>
          </w:tcPr>
          <w:p w14:paraId="30CCDB5F" w14:textId="4C961286" w:rsidR="0096214D" w:rsidRPr="00F31DD2" w:rsidRDefault="0096214D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Reconocer que un mismo tema como la igualdad entre niñas y niños, inspira distintas historias. Usar su creatividad e imaginación para escribir tu propio guion teatral, el cual les servirá para dar voz a personajes reales o ficticios. Transformar algunos recursos para utilizarlos como vestuario o utilería en la representación de su guion, mediante una lectura dramatizada compartir su texto con el resto de la comunidad escolar.</w:t>
            </w:r>
          </w:p>
        </w:tc>
      </w:tr>
      <w:tr w:rsidR="00F31DD2" w:rsidRPr="00AD1658" w14:paraId="11363062" w14:textId="77777777" w:rsidTr="00F31DD2">
        <w:tc>
          <w:tcPr>
            <w:tcW w:w="3079" w:type="dxa"/>
            <w:vAlign w:val="center"/>
          </w:tcPr>
          <w:p w14:paraId="6A945832" w14:textId="74C6BCF4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7" w:type="dxa"/>
            <w:vAlign w:val="center"/>
          </w:tcPr>
          <w:p w14:paraId="0C3BCF94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FF8A4D1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8086788" w14:textId="34FA4B3E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E91D1E6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5789F6D" w14:textId="1B2E5F9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Páginas de la 144 a la 161.</w:t>
            </w:r>
          </w:p>
        </w:tc>
        <w:tc>
          <w:tcPr>
            <w:tcW w:w="2911" w:type="dxa"/>
            <w:vAlign w:val="center"/>
          </w:tcPr>
          <w:p w14:paraId="0F88FC55" w14:textId="30B7BC82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Cuando no está, no se desarrolla.</w:t>
            </w:r>
          </w:p>
        </w:tc>
        <w:tc>
          <w:tcPr>
            <w:tcW w:w="3807" w:type="dxa"/>
            <w:vAlign w:val="center"/>
          </w:tcPr>
          <w:p w14:paraId="1544F34B" w14:textId="2B6858BD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 xml:space="preserve">Conocer cómo la ausencia de un factor físico puede intervenir en la germinación y en el desarrollo de las plantas. Asimismo, construir un </w:t>
            </w:r>
            <w:proofErr w:type="spellStart"/>
            <w:r w:rsidRPr="00F31DD2">
              <w:rPr>
                <w:rFonts w:ascii="Century Gothic" w:hAnsi="Century Gothic"/>
                <w:sz w:val="24"/>
                <w:szCs w:val="24"/>
              </w:rPr>
              <w:t>microecosistema</w:t>
            </w:r>
            <w:proofErr w:type="spellEnd"/>
            <w:r w:rsidRPr="00F31DD2">
              <w:rPr>
                <w:rFonts w:ascii="Century Gothic" w:hAnsi="Century Gothic"/>
                <w:sz w:val="24"/>
                <w:szCs w:val="24"/>
              </w:rPr>
              <w:t xml:space="preserve"> para identificar factores bióticos y abióticos en los ecosistemas.</w:t>
            </w:r>
          </w:p>
        </w:tc>
      </w:tr>
      <w:tr w:rsidR="00F31DD2" w:rsidRPr="00AD1658" w14:paraId="28903A2D" w14:textId="77777777" w:rsidTr="00F31DD2">
        <w:tc>
          <w:tcPr>
            <w:tcW w:w="3079" w:type="dxa"/>
            <w:vAlign w:val="center"/>
          </w:tcPr>
          <w:p w14:paraId="66EAD28D" w14:textId="48CE5F31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7" w:type="dxa"/>
            <w:vAlign w:val="center"/>
          </w:tcPr>
          <w:p w14:paraId="7B7BB994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C611BC4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1BABAA41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D212566" w14:textId="7777777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5BA4929E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Páginas de la 114 a la 131.</w:t>
            </w:r>
          </w:p>
        </w:tc>
        <w:tc>
          <w:tcPr>
            <w:tcW w:w="2911" w:type="dxa"/>
            <w:vAlign w:val="center"/>
          </w:tcPr>
          <w:p w14:paraId="2010C993" w14:textId="12773EC7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 xml:space="preserve"> La vida en movimiento.</w:t>
            </w:r>
          </w:p>
        </w:tc>
        <w:tc>
          <w:tcPr>
            <w:tcW w:w="3807" w:type="dxa"/>
            <w:vAlign w:val="center"/>
          </w:tcPr>
          <w:p w14:paraId="3F11CA71" w14:textId="496AB488" w:rsidR="00F31DD2" w:rsidRPr="00F31DD2" w:rsidRDefault="00F31DD2" w:rsidP="00F31DD2">
            <w:pPr>
              <w:rPr>
                <w:rFonts w:ascii="Century Gothic" w:hAnsi="Century Gothic"/>
                <w:sz w:val="24"/>
                <w:szCs w:val="24"/>
              </w:rPr>
            </w:pPr>
            <w:r w:rsidRPr="00F31DD2">
              <w:rPr>
                <w:rFonts w:ascii="Century Gothic" w:hAnsi="Century Gothic"/>
                <w:sz w:val="24"/>
                <w:szCs w:val="24"/>
              </w:rPr>
              <w:t>Con integrantes de su comunidad, recorrer su localidad para identificar las formas de desplazamiento de los animales y así diseñar un paso de fauna que logre disminuir los obstáculos que enfrentan los animales.</w:t>
            </w:r>
          </w:p>
        </w:tc>
      </w:tr>
    </w:tbl>
    <w:p w14:paraId="099E919D" w14:textId="77777777" w:rsidR="002F59BC" w:rsidRDefault="002F59BC"/>
    <w:sectPr w:rsidR="002F59BC" w:rsidSect="0036210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9799" w14:textId="77777777" w:rsidR="0036210B" w:rsidRDefault="0036210B" w:rsidP="0040208D">
      <w:pPr>
        <w:spacing w:after="0" w:line="240" w:lineRule="auto"/>
      </w:pPr>
      <w:r>
        <w:separator/>
      </w:r>
    </w:p>
  </w:endnote>
  <w:endnote w:type="continuationSeparator" w:id="0">
    <w:p w14:paraId="0FCC8B05" w14:textId="77777777" w:rsidR="0036210B" w:rsidRDefault="0036210B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8235" w14:textId="77777777" w:rsidR="0036210B" w:rsidRDefault="0036210B" w:rsidP="0040208D">
      <w:pPr>
        <w:spacing w:after="0" w:line="240" w:lineRule="auto"/>
      </w:pPr>
      <w:r>
        <w:separator/>
      </w:r>
    </w:p>
  </w:footnote>
  <w:footnote w:type="continuationSeparator" w:id="0">
    <w:p w14:paraId="327926C2" w14:textId="77777777" w:rsidR="0036210B" w:rsidRDefault="0036210B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96B10"/>
    <w:rsid w:val="002F59BC"/>
    <w:rsid w:val="0036210B"/>
    <w:rsid w:val="0040208D"/>
    <w:rsid w:val="004104AA"/>
    <w:rsid w:val="00711889"/>
    <w:rsid w:val="0072408D"/>
    <w:rsid w:val="007313AC"/>
    <w:rsid w:val="0096214D"/>
    <w:rsid w:val="009A14DE"/>
    <w:rsid w:val="009A5BC5"/>
    <w:rsid w:val="00AD1658"/>
    <w:rsid w:val="00B474F4"/>
    <w:rsid w:val="00B51E4C"/>
    <w:rsid w:val="00B7346C"/>
    <w:rsid w:val="00E217F1"/>
    <w:rsid w:val="00F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2024-04-29T05:02:00Z</dcterms:modified>
  <cp:category>www.DidacticosMX.com</cp:category>
</cp:coreProperties>
</file>