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3F505" w14:textId="2853B222" w:rsidR="00266617" w:rsidRDefault="00266617" w:rsidP="00266617">
      <w:pPr>
        <w:jc w:val="center"/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</w:pP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 xml:space="preserve">PROYECTOS DEL PERIODO 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13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:</w:t>
      </w:r>
    </w:p>
    <w:p w14:paraId="12DB9CC2" w14:textId="61665994" w:rsidR="00266617" w:rsidRDefault="00266617" w:rsidP="00266617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En este documento se encuentra la dosificación del Periodo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13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. Aquí puede consultar los contenidos, campos y ejes de cada uno de los proyectos. Es muy importante que sepa que: </w:t>
      </w:r>
      <w:r>
        <w:rPr>
          <w:rFonts w:ascii="Century Gothic" w:hAnsi="Century Gothic"/>
          <w:color w:val="0D0D0D" w:themeColor="text1" w:themeTint="F2"/>
          <w:sz w:val="36"/>
          <w:szCs w:val="36"/>
          <w:u w:val="single"/>
        </w:rPr>
        <w:t>ESTOS PROYECTOS SE PUEDEN APLICAR EN CUALQUIER MOMENTO DEL AÑO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.</w:t>
      </w:r>
    </w:p>
    <w:p w14:paraId="0E196D16" w14:textId="77777777" w:rsidR="00266617" w:rsidRDefault="00266617" w:rsidP="00266617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Con esta información, comprenderás mejor los objetivos de cada proyecto y cómo se integran diferentes áreas del conocimiento.</w:t>
      </w:r>
    </w:p>
    <w:p w14:paraId="007A97B9" w14:textId="77777777" w:rsidR="00266617" w:rsidRDefault="00266617" w:rsidP="00266617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Nuestros proyectos son únicos, ya que combinan contenidos y habilidades de dos o más campos de formación en una misma propuesta. De esta forma, la planeación se ajusta a los planes y programas de estudio de la Nueva Escuela Mexicana.</w:t>
      </w:r>
    </w:p>
    <w:p w14:paraId="7A1B468E" w14:textId="7403BA55" w:rsidR="00266617" w:rsidRDefault="00266617" w:rsidP="00266617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El paquete del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13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 incluye 3 proyectos didácticos.</w:t>
      </w:r>
    </w:p>
    <w:p w14:paraId="41C5FA06" w14:textId="77777777" w:rsidR="00266617" w:rsidRDefault="00266617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br w:type="page"/>
      </w:r>
    </w:p>
    <w:p w14:paraId="19ADF972" w14:textId="211BC7A0" w:rsidR="00AD1658" w:rsidRPr="00C06D2E" w:rsidRDefault="0040208D" w:rsidP="0040208D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 w:rsidRPr="00C06D2E">
        <w:rPr>
          <w:rFonts w:ascii="Century Gothic" w:hAnsi="Century Gothic"/>
          <w:b/>
          <w:bCs/>
          <w:sz w:val="32"/>
          <w:szCs w:val="32"/>
        </w:rPr>
        <w:lastRenderedPageBreak/>
        <w:t>3er Grado</w:t>
      </w:r>
    </w:p>
    <w:p w14:paraId="48B3BB10" w14:textId="67458A22" w:rsidR="00E217F1" w:rsidRPr="00C06D2E" w:rsidRDefault="00E217F1" w:rsidP="0040208D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 w:rsidRPr="00C06D2E"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69A6FF"/>
          <w:left w:val="single" w:sz="4" w:space="0" w:color="69A6FF"/>
          <w:bottom w:val="single" w:sz="4" w:space="0" w:color="69A6FF"/>
          <w:right w:val="single" w:sz="4" w:space="0" w:color="69A6FF"/>
          <w:insideH w:val="single" w:sz="4" w:space="0" w:color="69A6FF"/>
          <w:insideV w:val="single" w:sz="4" w:space="0" w:color="69A6FF"/>
        </w:tblBorders>
        <w:tblLook w:val="04A0" w:firstRow="1" w:lastRow="0" w:firstColumn="1" w:lastColumn="0" w:noHBand="0" w:noVBand="1"/>
      </w:tblPr>
      <w:tblGrid>
        <w:gridCol w:w="3114"/>
        <w:gridCol w:w="3051"/>
        <w:gridCol w:w="1439"/>
        <w:gridCol w:w="2940"/>
        <w:gridCol w:w="3846"/>
      </w:tblGrid>
      <w:tr w:rsidR="00AD1658" w:rsidRPr="00C06D2E" w14:paraId="51312299" w14:textId="77777777" w:rsidTr="0072408D">
        <w:tc>
          <w:tcPr>
            <w:tcW w:w="14390" w:type="dxa"/>
            <w:gridSpan w:val="5"/>
            <w:shd w:val="clear" w:color="auto" w:fill="C1DAFF"/>
            <w:vAlign w:val="center"/>
          </w:tcPr>
          <w:p w14:paraId="7345A0A7" w14:textId="7C5F74E2" w:rsidR="00AD1658" w:rsidRPr="00C06D2E" w:rsidRDefault="00E217F1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C06D2E"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C06D2E" w14:paraId="0ED89697" w14:textId="77777777" w:rsidTr="0072408D">
        <w:tc>
          <w:tcPr>
            <w:tcW w:w="3114" w:type="dxa"/>
            <w:shd w:val="clear" w:color="auto" w:fill="E5F0FF"/>
            <w:vAlign w:val="center"/>
          </w:tcPr>
          <w:p w14:paraId="2010CF81" w14:textId="0E05CB10" w:rsidR="00AD1658" w:rsidRPr="00C06D2E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C06D2E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51" w:type="dxa"/>
            <w:shd w:val="clear" w:color="auto" w:fill="E5F0FF"/>
            <w:vAlign w:val="center"/>
          </w:tcPr>
          <w:p w14:paraId="3FF55929" w14:textId="2775533F" w:rsidR="00AD1658" w:rsidRPr="00C06D2E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C06D2E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439" w:type="dxa"/>
            <w:shd w:val="clear" w:color="auto" w:fill="E5F0FF"/>
            <w:vAlign w:val="center"/>
          </w:tcPr>
          <w:p w14:paraId="426A56CE" w14:textId="6F50816E" w:rsidR="00AD1658" w:rsidRPr="00C06D2E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C06D2E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40" w:type="dxa"/>
            <w:shd w:val="clear" w:color="auto" w:fill="E5F0FF"/>
            <w:vAlign w:val="center"/>
          </w:tcPr>
          <w:p w14:paraId="0490FFAC" w14:textId="4AF7C1E6" w:rsidR="00AD1658" w:rsidRPr="00C06D2E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C06D2E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46" w:type="dxa"/>
            <w:shd w:val="clear" w:color="auto" w:fill="E5F0FF"/>
            <w:vAlign w:val="center"/>
          </w:tcPr>
          <w:p w14:paraId="49AD0D00" w14:textId="0DD44579" w:rsidR="00AD1658" w:rsidRPr="00C06D2E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C06D2E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314734" w:rsidRPr="00C06D2E" w14:paraId="3E0896F7" w14:textId="77777777" w:rsidTr="0072408D">
        <w:tc>
          <w:tcPr>
            <w:tcW w:w="3114" w:type="dxa"/>
            <w:vAlign w:val="center"/>
          </w:tcPr>
          <w:p w14:paraId="2615CD50" w14:textId="280CCC69" w:rsidR="00314734" w:rsidRPr="00C06D2E" w:rsidRDefault="00314734" w:rsidP="00314734">
            <w:pPr>
              <w:rPr>
                <w:rFonts w:ascii="Century Gothic" w:hAnsi="Century Gothic"/>
              </w:rPr>
            </w:pPr>
            <w:r w:rsidRPr="00C06D2E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3051" w:type="dxa"/>
            <w:vAlign w:val="center"/>
          </w:tcPr>
          <w:p w14:paraId="79715414" w14:textId="77777777" w:rsidR="00C06D2E" w:rsidRPr="00C06D2E" w:rsidRDefault="00C06D2E" w:rsidP="00C06D2E">
            <w:pPr>
              <w:rPr>
                <w:rFonts w:ascii="Century Gothic" w:eastAsia="Calibri" w:hAnsi="Century Gothic" w:cs="Times New Roman"/>
              </w:rPr>
            </w:pPr>
            <w:r w:rsidRPr="00C06D2E">
              <w:rPr>
                <w:rFonts w:ascii="Century Gothic" w:eastAsia="Calibri" w:hAnsi="Century Gothic" w:cs="Times New Roman"/>
                <w:sz w:val="28"/>
                <w:szCs w:val="28"/>
              </w:rPr>
              <w:t>Inclusión</w:t>
            </w:r>
          </w:p>
          <w:p w14:paraId="0BB37DC7" w14:textId="77777777" w:rsidR="00C06D2E" w:rsidRPr="00C06D2E" w:rsidRDefault="00C06D2E" w:rsidP="00C06D2E">
            <w:pPr>
              <w:spacing w:after="160" w:line="259" w:lineRule="auto"/>
              <w:rPr>
                <w:rFonts w:ascii="Century Gothic" w:eastAsia="Calibri" w:hAnsi="Century Gothic" w:cs="Times New Roman"/>
                <w:sz w:val="28"/>
                <w:szCs w:val="28"/>
              </w:rPr>
            </w:pPr>
            <w:r w:rsidRPr="00C06D2E">
              <w:rPr>
                <w:rFonts w:ascii="Century Gothic" w:eastAsia="Calibri" w:hAnsi="Century Gothic" w:cs="Times New Roman"/>
                <w:sz w:val="28"/>
                <w:szCs w:val="28"/>
              </w:rPr>
              <w:t>Pensamiento crítico</w:t>
            </w:r>
          </w:p>
          <w:p w14:paraId="7FECEE2A" w14:textId="77777777" w:rsidR="00C06D2E" w:rsidRPr="00C06D2E" w:rsidRDefault="00C06D2E" w:rsidP="00C06D2E">
            <w:pPr>
              <w:rPr>
                <w:rFonts w:ascii="Century Gothic" w:eastAsia="Calibri" w:hAnsi="Century Gothic" w:cs="Times New Roman"/>
              </w:rPr>
            </w:pPr>
            <w:r w:rsidRPr="00C06D2E">
              <w:rPr>
                <w:rFonts w:ascii="Century Gothic" w:eastAsia="Calibri" w:hAnsi="Century Gothic" w:cs="Times New Roman"/>
                <w:sz w:val="28"/>
                <w:szCs w:val="28"/>
              </w:rPr>
              <w:t>Vida saludable</w:t>
            </w:r>
          </w:p>
          <w:p w14:paraId="2D724138" w14:textId="5543CE9E" w:rsidR="00314734" w:rsidRPr="00C06D2E" w:rsidRDefault="00314734" w:rsidP="00314734">
            <w:pPr>
              <w:rPr>
                <w:rFonts w:ascii="Century Gothic" w:hAnsi="Century Gothic"/>
              </w:rPr>
            </w:pPr>
          </w:p>
        </w:tc>
        <w:tc>
          <w:tcPr>
            <w:tcW w:w="1439" w:type="dxa"/>
            <w:vAlign w:val="center"/>
          </w:tcPr>
          <w:p w14:paraId="30B09F9F" w14:textId="77777777" w:rsidR="00314734" w:rsidRPr="00C06D2E" w:rsidRDefault="00314734" w:rsidP="00314734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C06D2E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133CBBF1" w14:textId="02E85209" w:rsidR="00314734" w:rsidRPr="00C06D2E" w:rsidRDefault="00314734" w:rsidP="00314734">
            <w:pPr>
              <w:rPr>
                <w:rFonts w:ascii="Century Gothic" w:hAnsi="Century Gothic"/>
              </w:rPr>
            </w:pPr>
            <w:r w:rsidRPr="00C06D2E">
              <w:rPr>
                <w:rFonts w:ascii="Century Gothic" w:hAnsi="Century Gothic" w:cs="Tahoma"/>
                <w:sz w:val="24"/>
                <w:szCs w:val="24"/>
              </w:rPr>
              <w:t>Páginas de la 230 a la 241.</w:t>
            </w:r>
          </w:p>
        </w:tc>
        <w:tc>
          <w:tcPr>
            <w:tcW w:w="2940" w:type="dxa"/>
            <w:vAlign w:val="center"/>
          </w:tcPr>
          <w:p w14:paraId="1C02C1AD" w14:textId="59FF0919" w:rsidR="00314734" w:rsidRPr="00C06D2E" w:rsidRDefault="00314734" w:rsidP="00314734">
            <w:pPr>
              <w:rPr>
                <w:rFonts w:ascii="Century Gothic" w:hAnsi="Century Gothic"/>
              </w:rPr>
            </w:pPr>
            <w:r w:rsidRPr="00C06D2E">
              <w:rPr>
                <w:rFonts w:ascii="Century Gothic" w:hAnsi="Century Gothic" w:cs="Arial"/>
                <w:sz w:val="24"/>
                <w:szCs w:val="24"/>
              </w:rPr>
              <w:t xml:space="preserve"> Haz de tu escuela una zona segura.</w:t>
            </w:r>
          </w:p>
        </w:tc>
        <w:tc>
          <w:tcPr>
            <w:tcW w:w="3846" w:type="dxa"/>
            <w:vAlign w:val="center"/>
          </w:tcPr>
          <w:p w14:paraId="30CCDB5F" w14:textId="7E23E465" w:rsidR="00314734" w:rsidRPr="00C06D2E" w:rsidRDefault="00314734" w:rsidP="00314734">
            <w:pPr>
              <w:rPr>
                <w:rFonts w:ascii="Century Gothic" w:hAnsi="Century Gothic"/>
              </w:rPr>
            </w:pPr>
            <w:r w:rsidRPr="00C06D2E">
              <w:rPr>
                <w:rFonts w:ascii="Century Gothic" w:hAnsi="Century Gothic" w:cs="Arial"/>
                <w:sz w:val="24"/>
                <w:szCs w:val="24"/>
              </w:rPr>
              <w:t>Elaborar una guía de repliegue y evacuación para saber cómo ponerse a salvo en la escuela ante los riesgos de desastre asociados a fenómenos naturales.</w:t>
            </w:r>
          </w:p>
        </w:tc>
      </w:tr>
      <w:tr w:rsidR="00314734" w:rsidRPr="00C06D2E" w14:paraId="11363062" w14:textId="77777777" w:rsidTr="00886BF0">
        <w:tc>
          <w:tcPr>
            <w:tcW w:w="3114" w:type="dxa"/>
            <w:vAlign w:val="center"/>
          </w:tcPr>
          <w:p w14:paraId="6A945832" w14:textId="1777CFA0" w:rsidR="00314734" w:rsidRPr="00C06D2E" w:rsidRDefault="00314734" w:rsidP="00314734">
            <w:pPr>
              <w:rPr>
                <w:rFonts w:ascii="Century Gothic" w:hAnsi="Century Gothic"/>
              </w:rPr>
            </w:pPr>
            <w:r w:rsidRPr="00C06D2E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3051" w:type="dxa"/>
            <w:vAlign w:val="center"/>
          </w:tcPr>
          <w:p w14:paraId="4A8D3C2F" w14:textId="77777777" w:rsidR="00C06D2E" w:rsidRPr="00C06D2E" w:rsidRDefault="00C06D2E" w:rsidP="00C06D2E">
            <w:pPr>
              <w:rPr>
                <w:rFonts w:ascii="Century Gothic" w:eastAsia="Calibri" w:hAnsi="Century Gothic" w:cs="Times New Roman"/>
              </w:rPr>
            </w:pPr>
            <w:r w:rsidRPr="00C06D2E">
              <w:rPr>
                <w:rFonts w:ascii="Century Gothic" w:eastAsia="Calibri" w:hAnsi="Century Gothic" w:cs="Times New Roman"/>
                <w:sz w:val="28"/>
                <w:szCs w:val="28"/>
              </w:rPr>
              <w:t>Inclusión</w:t>
            </w:r>
          </w:p>
          <w:p w14:paraId="274AB350" w14:textId="77777777" w:rsidR="00C06D2E" w:rsidRPr="00C06D2E" w:rsidRDefault="00C06D2E" w:rsidP="00C06D2E">
            <w:pPr>
              <w:spacing w:after="160" w:line="259" w:lineRule="auto"/>
              <w:rPr>
                <w:rFonts w:ascii="Century Gothic" w:eastAsia="Calibri" w:hAnsi="Century Gothic" w:cs="Times New Roman"/>
                <w:sz w:val="28"/>
                <w:szCs w:val="28"/>
              </w:rPr>
            </w:pPr>
            <w:r w:rsidRPr="00C06D2E">
              <w:rPr>
                <w:rFonts w:ascii="Century Gothic" w:eastAsia="Calibri" w:hAnsi="Century Gothic" w:cs="Times New Roman"/>
                <w:sz w:val="28"/>
                <w:szCs w:val="28"/>
              </w:rPr>
              <w:t>Pensamiento crítico</w:t>
            </w:r>
          </w:p>
          <w:p w14:paraId="77CDCE8A" w14:textId="77777777" w:rsidR="00C06D2E" w:rsidRPr="00C06D2E" w:rsidRDefault="00C06D2E" w:rsidP="00C06D2E">
            <w:pPr>
              <w:spacing w:after="160" w:line="259" w:lineRule="auto"/>
              <w:rPr>
                <w:rFonts w:ascii="Century Gothic" w:eastAsia="Calibri" w:hAnsi="Century Gothic" w:cs="Times New Roman"/>
                <w:sz w:val="28"/>
                <w:szCs w:val="28"/>
              </w:rPr>
            </w:pPr>
            <w:r w:rsidRPr="00C06D2E">
              <w:rPr>
                <w:rFonts w:ascii="Century Gothic" w:eastAsia="Calibri" w:hAnsi="Century Gothic" w:cs="Times New Roman"/>
                <w:sz w:val="28"/>
                <w:szCs w:val="28"/>
              </w:rPr>
              <w:t>Igualdad de género</w:t>
            </w:r>
          </w:p>
          <w:p w14:paraId="2D79731A" w14:textId="77777777" w:rsidR="00C06D2E" w:rsidRPr="00C06D2E" w:rsidRDefault="00C06D2E" w:rsidP="00C06D2E">
            <w:pPr>
              <w:spacing w:after="160" w:line="259" w:lineRule="auto"/>
              <w:rPr>
                <w:rFonts w:ascii="Century Gothic" w:eastAsia="Calibri" w:hAnsi="Century Gothic" w:cs="Times New Roman"/>
              </w:rPr>
            </w:pPr>
            <w:r w:rsidRPr="00C06D2E">
              <w:rPr>
                <w:rFonts w:ascii="Century Gothic" w:eastAsia="Calibri" w:hAnsi="Century Gothic" w:cs="Times New Roman"/>
                <w:sz w:val="28"/>
                <w:szCs w:val="28"/>
              </w:rPr>
              <w:t xml:space="preserve">Artes y experiencias estéticas </w:t>
            </w:r>
          </w:p>
          <w:p w14:paraId="58086788" w14:textId="34FA4B3E" w:rsidR="00314734" w:rsidRPr="00C06D2E" w:rsidRDefault="00314734" w:rsidP="00314734">
            <w:pPr>
              <w:rPr>
                <w:rFonts w:ascii="Century Gothic" w:hAnsi="Century Gothic"/>
              </w:rPr>
            </w:pPr>
          </w:p>
        </w:tc>
        <w:tc>
          <w:tcPr>
            <w:tcW w:w="1439" w:type="dxa"/>
            <w:vAlign w:val="center"/>
          </w:tcPr>
          <w:p w14:paraId="41FE02E2" w14:textId="77777777" w:rsidR="00314734" w:rsidRPr="00C06D2E" w:rsidRDefault="00314734" w:rsidP="00314734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C06D2E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55789F6D" w14:textId="48C16C3F" w:rsidR="00314734" w:rsidRPr="00C06D2E" w:rsidRDefault="00314734" w:rsidP="00314734">
            <w:pPr>
              <w:rPr>
                <w:rFonts w:ascii="Century Gothic" w:hAnsi="Century Gothic"/>
              </w:rPr>
            </w:pPr>
            <w:r w:rsidRPr="00C06D2E">
              <w:rPr>
                <w:rFonts w:ascii="Century Gothic" w:hAnsi="Century Gothic" w:cs="Tahoma"/>
                <w:sz w:val="24"/>
                <w:szCs w:val="24"/>
              </w:rPr>
              <w:t>Páginas de la 200 a la 211.</w:t>
            </w:r>
          </w:p>
        </w:tc>
        <w:tc>
          <w:tcPr>
            <w:tcW w:w="2940" w:type="dxa"/>
            <w:vAlign w:val="center"/>
          </w:tcPr>
          <w:p w14:paraId="0F88FC55" w14:textId="10BC9F6D" w:rsidR="00314734" w:rsidRPr="00C06D2E" w:rsidRDefault="00314734" w:rsidP="00314734">
            <w:pPr>
              <w:rPr>
                <w:rFonts w:ascii="Century Gothic" w:hAnsi="Century Gothic"/>
              </w:rPr>
            </w:pPr>
            <w:r w:rsidRPr="00C06D2E">
              <w:rPr>
                <w:rFonts w:ascii="Century Gothic" w:hAnsi="Century Gothic" w:cs="Arial"/>
                <w:sz w:val="24"/>
                <w:szCs w:val="24"/>
              </w:rPr>
              <w:t xml:space="preserve"> Niñas y niños en contra de los estereotipos de género.</w:t>
            </w:r>
          </w:p>
        </w:tc>
        <w:tc>
          <w:tcPr>
            <w:tcW w:w="3846" w:type="dxa"/>
          </w:tcPr>
          <w:p w14:paraId="1544F34B" w14:textId="41BD8068" w:rsidR="00314734" w:rsidRPr="00C06D2E" w:rsidRDefault="00314734" w:rsidP="00314734">
            <w:pPr>
              <w:rPr>
                <w:rFonts w:ascii="Century Gothic" w:hAnsi="Century Gothic"/>
              </w:rPr>
            </w:pPr>
            <w:r w:rsidRPr="00C06D2E">
              <w:rPr>
                <w:rFonts w:ascii="Century Gothic" w:hAnsi="Century Gothic" w:cs="Arial"/>
                <w:sz w:val="24"/>
                <w:szCs w:val="24"/>
              </w:rPr>
              <w:t>Conocer qué son los estereotipos de género y participar en la elaboración de la “Pared de la igualdad” con frases que promuevan una convivencia igualitaria y pacífica.</w:t>
            </w:r>
          </w:p>
        </w:tc>
      </w:tr>
      <w:tr w:rsidR="00314734" w:rsidRPr="00C06D2E" w14:paraId="28903A2D" w14:textId="77777777" w:rsidTr="00886BF0">
        <w:tc>
          <w:tcPr>
            <w:tcW w:w="3114" w:type="dxa"/>
            <w:vAlign w:val="center"/>
          </w:tcPr>
          <w:p w14:paraId="66EAD28D" w14:textId="6D3FA0A5" w:rsidR="00314734" w:rsidRPr="00C06D2E" w:rsidRDefault="00314734" w:rsidP="00314734">
            <w:pPr>
              <w:rPr>
                <w:rFonts w:ascii="Century Gothic" w:hAnsi="Century Gothic"/>
              </w:rPr>
            </w:pPr>
            <w:r w:rsidRPr="00C06D2E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3051" w:type="dxa"/>
            <w:vAlign w:val="center"/>
          </w:tcPr>
          <w:p w14:paraId="54A67419" w14:textId="77777777" w:rsidR="00C06D2E" w:rsidRPr="00C06D2E" w:rsidRDefault="00C06D2E" w:rsidP="00C06D2E">
            <w:pPr>
              <w:rPr>
                <w:rFonts w:ascii="Century Gothic" w:eastAsia="Calibri" w:hAnsi="Century Gothic" w:cs="Times New Roman"/>
              </w:rPr>
            </w:pPr>
            <w:r w:rsidRPr="00C06D2E">
              <w:rPr>
                <w:rFonts w:ascii="Century Gothic" w:eastAsia="Calibri" w:hAnsi="Century Gothic" w:cs="Times New Roman"/>
                <w:sz w:val="28"/>
                <w:szCs w:val="28"/>
              </w:rPr>
              <w:t>Inclusión</w:t>
            </w:r>
          </w:p>
          <w:p w14:paraId="10C0D640" w14:textId="77777777" w:rsidR="00C06D2E" w:rsidRPr="00C06D2E" w:rsidRDefault="00C06D2E" w:rsidP="00C06D2E">
            <w:pPr>
              <w:spacing w:after="160" w:line="259" w:lineRule="auto"/>
              <w:rPr>
                <w:rFonts w:ascii="Century Gothic" w:eastAsia="Calibri" w:hAnsi="Century Gothic" w:cs="Times New Roman"/>
                <w:sz w:val="28"/>
                <w:szCs w:val="28"/>
              </w:rPr>
            </w:pPr>
            <w:r w:rsidRPr="00C06D2E">
              <w:rPr>
                <w:rFonts w:ascii="Century Gothic" w:eastAsia="Calibri" w:hAnsi="Century Gothic" w:cs="Times New Roman"/>
                <w:sz w:val="28"/>
                <w:szCs w:val="28"/>
              </w:rPr>
              <w:t>Pensamiento crítico</w:t>
            </w:r>
          </w:p>
          <w:p w14:paraId="50E80FB2" w14:textId="77777777" w:rsidR="00C06D2E" w:rsidRPr="00C06D2E" w:rsidRDefault="00C06D2E" w:rsidP="00C06D2E">
            <w:pPr>
              <w:spacing w:after="160" w:line="259" w:lineRule="auto"/>
              <w:rPr>
                <w:rFonts w:ascii="Century Gothic" w:eastAsia="Calibri" w:hAnsi="Century Gothic" w:cs="Times New Roman"/>
                <w:sz w:val="28"/>
                <w:szCs w:val="28"/>
              </w:rPr>
            </w:pPr>
            <w:r w:rsidRPr="00C06D2E">
              <w:rPr>
                <w:rFonts w:ascii="Century Gothic" w:eastAsia="Calibri" w:hAnsi="Century Gothic" w:cs="Times New Roman"/>
                <w:sz w:val="28"/>
                <w:szCs w:val="28"/>
              </w:rPr>
              <w:t>Igualdad de género</w:t>
            </w:r>
          </w:p>
          <w:p w14:paraId="599C58D7" w14:textId="4386A27A" w:rsidR="00314734" w:rsidRPr="00C06D2E" w:rsidRDefault="00314734" w:rsidP="00314734">
            <w:pPr>
              <w:rPr>
                <w:rFonts w:ascii="Century Gothic" w:hAnsi="Century Gothic"/>
              </w:rPr>
            </w:pPr>
          </w:p>
        </w:tc>
        <w:tc>
          <w:tcPr>
            <w:tcW w:w="1439" w:type="dxa"/>
            <w:vAlign w:val="center"/>
          </w:tcPr>
          <w:p w14:paraId="1DF3EDE6" w14:textId="72EC510F" w:rsidR="00314734" w:rsidRPr="00C06D2E" w:rsidRDefault="00314734" w:rsidP="00314734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C06D2E">
              <w:rPr>
                <w:rFonts w:ascii="Century Gothic" w:hAnsi="Century Gothic" w:cs="Tahoma"/>
                <w:sz w:val="24"/>
                <w:szCs w:val="24"/>
              </w:rPr>
              <w:t xml:space="preserve">Escolar.                                                   </w:t>
            </w:r>
            <w:r w:rsidR="002F167D" w:rsidRPr="00C06D2E">
              <w:rPr>
                <w:rFonts w:ascii="Century Gothic" w:hAnsi="Century Gothic" w:cs="Tahoma"/>
                <w:sz w:val="24"/>
                <w:szCs w:val="24"/>
              </w:rPr>
              <w:t>N n</w:t>
            </w:r>
          </w:p>
          <w:p w14:paraId="5E092657" w14:textId="31FA5B69" w:rsidR="00314734" w:rsidRPr="00C06D2E" w:rsidRDefault="00314734" w:rsidP="00314734">
            <w:pPr>
              <w:rPr>
                <w:rFonts w:ascii="Century Gothic" w:hAnsi="Century Gothic"/>
              </w:rPr>
            </w:pPr>
            <w:r w:rsidRPr="00C06D2E">
              <w:rPr>
                <w:rFonts w:ascii="Century Gothic" w:hAnsi="Century Gothic" w:cs="Tahoma"/>
                <w:sz w:val="24"/>
                <w:szCs w:val="24"/>
              </w:rPr>
              <w:t>Páginas de la 220 a la 229.</w:t>
            </w:r>
          </w:p>
        </w:tc>
        <w:tc>
          <w:tcPr>
            <w:tcW w:w="2940" w:type="dxa"/>
            <w:vAlign w:val="center"/>
          </w:tcPr>
          <w:p w14:paraId="2010C993" w14:textId="0D99DB50" w:rsidR="00314734" w:rsidRPr="00C06D2E" w:rsidRDefault="00314734" w:rsidP="00314734">
            <w:pPr>
              <w:rPr>
                <w:rFonts w:ascii="Century Gothic" w:hAnsi="Century Gothic"/>
              </w:rPr>
            </w:pPr>
            <w:r w:rsidRPr="00C06D2E">
              <w:rPr>
                <w:rFonts w:ascii="Century Gothic" w:hAnsi="Century Gothic" w:cs="Arial"/>
                <w:sz w:val="24"/>
                <w:szCs w:val="24"/>
              </w:rPr>
              <w:t xml:space="preserve"> Las personas merecen un trato igualitario.</w:t>
            </w:r>
          </w:p>
        </w:tc>
        <w:tc>
          <w:tcPr>
            <w:tcW w:w="3846" w:type="dxa"/>
          </w:tcPr>
          <w:p w14:paraId="3F11CA71" w14:textId="2756ED0B" w:rsidR="00314734" w:rsidRPr="00C06D2E" w:rsidRDefault="00314734" w:rsidP="00314734">
            <w:pPr>
              <w:rPr>
                <w:rFonts w:ascii="Century Gothic" w:hAnsi="Century Gothic"/>
              </w:rPr>
            </w:pPr>
            <w:r w:rsidRPr="00C06D2E">
              <w:rPr>
                <w:rFonts w:ascii="Century Gothic" w:hAnsi="Century Gothic" w:cs="Arial"/>
                <w:sz w:val="24"/>
                <w:szCs w:val="24"/>
              </w:rPr>
              <w:t>Crear un “Arcoíris de los buenos tratos” que les ayude a generar compromisos para evitar acciones de discriminación en su comunidad escolar. Esto permitirá que identifiquen el derecho a un trato digno e igualitario y a valorar las diferencias.</w:t>
            </w:r>
          </w:p>
        </w:tc>
      </w:tr>
    </w:tbl>
    <w:p w14:paraId="099E919D" w14:textId="77777777" w:rsidR="002F59BC" w:rsidRPr="00C06D2E" w:rsidRDefault="002F59BC">
      <w:pPr>
        <w:rPr>
          <w:rFonts w:ascii="Century Gothic" w:hAnsi="Century Gothic"/>
        </w:rPr>
      </w:pPr>
    </w:p>
    <w:sectPr w:rsidR="002F59BC" w:rsidRPr="00C06D2E" w:rsidSect="001C3080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06F0A" w14:textId="77777777" w:rsidR="001C3080" w:rsidRDefault="001C3080" w:rsidP="0040208D">
      <w:pPr>
        <w:spacing w:after="0" w:line="240" w:lineRule="auto"/>
      </w:pPr>
      <w:r>
        <w:separator/>
      </w:r>
    </w:p>
  </w:endnote>
  <w:endnote w:type="continuationSeparator" w:id="0">
    <w:p w14:paraId="0B9D1CA3" w14:textId="77777777" w:rsidR="001C3080" w:rsidRDefault="001C3080" w:rsidP="0040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0294D" w14:textId="77777777" w:rsidR="001C3080" w:rsidRDefault="001C3080" w:rsidP="0040208D">
      <w:pPr>
        <w:spacing w:after="0" w:line="240" w:lineRule="auto"/>
      </w:pPr>
      <w:r>
        <w:separator/>
      </w:r>
    </w:p>
  </w:footnote>
  <w:footnote w:type="continuationSeparator" w:id="0">
    <w:p w14:paraId="5B22F7B6" w14:textId="77777777" w:rsidR="001C3080" w:rsidRDefault="001C3080" w:rsidP="00402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45CB6" w14:textId="4A60B943" w:rsidR="0040208D" w:rsidRPr="0040208D" w:rsidRDefault="0040208D" w:rsidP="0040208D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A4DC4C1" wp14:editId="611CDCB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4836565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1C3080"/>
    <w:rsid w:val="00266617"/>
    <w:rsid w:val="002F167D"/>
    <w:rsid w:val="002F59BC"/>
    <w:rsid w:val="00314734"/>
    <w:rsid w:val="0040208D"/>
    <w:rsid w:val="004104AA"/>
    <w:rsid w:val="00711889"/>
    <w:rsid w:val="0072408D"/>
    <w:rsid w:val="007313AC"/>
    <w:rsid w:val="009A14DE"/>
    <w:rsid w:val="009A5BC5"/>
    <w:rsid w:val="00A92629"/>
    <w:rsid w:val="00AD1658"/>
    <w:rsid w:val="00B474F4"/>
    <w:rsid w:val="00B51E4C"/>
    <w:rsid w:val="00C06D2E"/>
    <w:rsid w:val="00E2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D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08D"/>
  </w:style>
  <w:style w:type="paragraph" w:styleId="Piedepgina">
    <w:name w:val="footer"/>
    <w:basedOn w:val="Normal"/>
    <w:link w:val="Piedepgina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8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G3317</cp:lastModifiedBy>
  <cp:revision>2</cp:revision>
  <dcterms:created xsi:type="dcterms:W3CDTF">2023-08-21T19:57:00Z</dcterms:created>
  <dcterms:modified xsi:type="dcterms:W3CDTF">2024-04-06T09:12:00Z</dcterms:modified>
  <cp:category>www.DidacticosMX.com</cp:category>
</cp:coreProperties>
</file>