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144B" w14:textId="4F2B17A5" w:rsidR="00E94AE6" w:rsidRDefault="00E94AE6" w:rsidP="00E94AE6">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10</w:t>
      </w:r>
      <w:r>
        <w:rPr>
          <w:rFonts w:ascii="Century Gothic" w:hAnsi="Century Gothic"/>
          <w:b/>
          <w:bCs/>
          <w:color w:val="0D0D0D" w:themeColor="text1" w:themeTint="F2"/>
          <w:sz w:val="44"/>
          <w:szCs w:val="44"/>
        </w:rPr>
        <w:t>:</w:t>
      </w:r>
    </w:p>
    <w:p w14:paraId="4BE55C6F" w14:textId="111CFEB8" w:rsidR="00E94AE6" w:rsidRDefault="00E94AE6" w:rsidP="00E94AE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10</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3917EA56" w14:textId="77777777" w:rsidR="00E94AE6" w:rsidRDefault="00E94AE6" w:rsidP="00E94AE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6585C12D" w14:textId="77777777" w:rsidR="00E94AE6" w:rsidRDefault="00E94AE6" w:rsidP="00E94AE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5750D6AE" w14:textId="32F698D4" w:rsidR="00E94AE6" w:rsidRDefault="00E94AE6" w:rsidP="00E94AE6">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10</w:t>
      </w:r>
      <w:r>
        <w:rPr>
          <w:rFonts w:ascii="Century Gothic" w:hAnsi="Century Gothic"/>
          <w:color w:val="0D0D0D" w:themeColor="text1" w:themeTint="F2"/>
          <w:sz w:val="36"/>
          <w:szCs w:val="36"/>
        </w:rPr>
        <w:t xml:space="preserve"> incluye 3 proyectos didácticos.</w:t>
      </w:r>
    </w:p>
    <w:p w14:paraId="4AFCD6BE" w14:textId="77777777" w:rsidR="00E94AE6" w:rsidRDefault="00E94AE6">
      <w:pPr>
        <w:rPr>
          <w:rFonts w:ascii="Century Gothic" w:hAnsi="Century Gothic"/>
          <w:b/>
          <w:bCs/>
          <w:sz w:val="32"/>
          <w:szCs w:val="32"/>
        </w:rPr>
      </w:pPr>
      <w:r>
        <w:rPr>
          <w:rFonts w:ascii="Century Gothic" w:hAnsi="Century Gothic"/>
          <w:b/>
          <w:bCs/>
          <w:sz w:val="32"/>
          <w:szCs w:val="32"/>
        </w:rPr>
        <w:br w:type="page"/>
      </w:r>
    </w:p>
    <w:p w14:paraId="19ADF972" w14:textId="019EFA81" w:rsidR="00AD1658" w:rsidRPr="006C20C0" w:rsidRDefault="0040208D" w:rsidP="0040208D">
      <w:pPr>
        <w:spacing w:after="0"/>
        <w:jc w:val="center"/>
        <w:rPr>
          <w:rFonts w:ascii="Century Gothic" w:hAnsi="Century Gothic"/>
          <w:b/>
          <w:bCs/>
          <w:sz w:val="32"/>
          <w:szCs w:val="32"/>
        </w:rPr>
      </w:pPr>
      <w:r w:rsidRPr="006C20C0">
        <w:rPr>
          <w:rFonts w:ascii="Century Gothic" w:hAnsi="Century Gothic"/>
          <w:b/>
          <w:bCs/>
          <w:sz w:val="32"/>
          <w:szCs w:val="32"/>
        </w:rPr>
        <w:lastRenderedPageBreak/>
        <w:t>3er Grado</w:t>
      </w:r>
    </w:p>
    <w:p w14:paraId="48B3BB10" w14:textId="67458A22" w:rsidR="00E217F1" w:rsidRPr="006C20C0" w:rsidRDefault="00E217F1" w:rsidP="0040208D">
      <w:pPr>
        <w:spacing w:after="0"/>
        <w:jc w:val="center"/>
        <w:rPr>
          <w:rFonts w:ascii="Century Gothic" w:hAnsi="Century Gothic"/>
          <w:b/>
          <w:bCs/>
          <w:sz w:val="32"/>
          <w:szCs w:val="32"/>
        </w:rPr>
      </w:pPr>
      <w:r w:rsidRPr="006C20C0">
        <w:rPr>
          <w:rFonts w:ascii="Century Gothic" w:hAnsi="Century Gothic"/>
          <w:b/>
          <w:bCs/>
          <w:sz w:val="32"/>
          <w:szCs w:val="32"/>
        </w:rPr>
        <w:t>FECHA</w:t>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3041"/>
        <w:gridCol w:w="2998"/>
        <w:gridCol w:w="1723"/>
        <w:gridCol w:w="2882"/>
        <w:gridCol w:w="3746"/>
      </w:tblGrid>
      <w:tr w:rsidR="00AD1658" w:rsidRPr="006C20C0" w14:paraId="51312299" w14:textId="77777777" w:rsidTr="0072408D">
        <w:tc>
          <w:tcPr>
            <w:tcW w:w="14390" w:type="dxa"/>
            <w:gridSpan w:val="5"/>
            <w:shd w:val="clear" w:color="auto" w:fill="C1DAFF"/>
            <w:vAlign w:val="center"/>
          </w:tcPr>
          <w:p w14:paraId="7345A0A7" w14:textId="7C5F74E2" w:rsidR="00AD1658" w:rsidRPr="006C20C0" w:rsidRDefault="00E217F1" w:rsidP="00AD1658">
            <w:pPr>
              <w:jc w:val="center"/>
              <w:rPr>
                <w:rFonts w:ascii="Century Gothic" w:hAnsi="Century Gothic"/>
                <w:b/>
                <w:bCs/>
                <w:sz w:val="26"/>
                <w:szCs w:val="26"/>
              </w:rPr>
            </w:pPr>
            <w:r w:rsidRPr="006C20C0">
              <w:rPr>
                <w:rFonts w:ascii="Century Gothic" w:hAnsi="Century Gothic"/>
                <w:b/>
                <w:bCs/>
                <w:sz w:val="26"/>
                <w:szCs w:val="26"/>
              </w:rPr>
              <w:t>DOSIFICACIÓN</w:t>
            </w:r>
          </w:p>
        </w:tc>
      </w:tr>
      <w:tr w:rsidR="00AD1658" w:rsidRPr="006C20C0" w14:paraId="0ED89697" w14:textId="77777777" w:rsidTr="006C20C0">
        <w:tc>
          <w:tcPr>
            <w:tcW w:w="3081" w:type="dxa"/>
            <w:shd w:val="clear" w:color="auto" w:fill="E5F0FF"/>
            <w:vAlign w:val="center"/>
          </w:tcPr>
          <w:p w14:paraId="2010CF81" w14:textId="0E05CB10" w:rsidR="00AD1658" w:rsidRPr="006C20C0" w:rsidRDefault="00AD1658" w:rsidP="00AD1658">
            <w:pPr>
              <w:jc w:val="center"/>
              <w:rPr>
                <w:rFonts w:ascii="Century Gothic" w:hAnsi="Century Gothic"/>
                <w:b/>
                <w:bCs/>
                <w:sz w:val="26"/>
                <w:szCs w:val="26"/>
              </w:rPr>
            </w:pPr>
            <w:r w:rsidRPr="006C20C0">
              <w:rPr>
                <w:rFonts w:ascii="Century Gothic" w:hAnsi="Century Gothic"/>
                <w:b/>
                <w:bCs/>
                <w:sz w:val="26"/>
                <w:szCs w:val="26"/>
              </w:rPr>
              <w:t>Campo Formativo</w:t>
            </w:r>
          </w:p>
        </w:tc>
        <w:tc>
          <w:tcPr>
            <w:tcW w:w="3028" w:type="dxa"/>
            <w:shd w:val="clear" w:color="auto" w:fill="E5F0FF"/>
            <w:vAlign w:val="center"/>
          </w:tcPr>
          <w:p w14:paraId="3FF55929" w14:textId="2775533F" w:rsidR="00AD1658" w:rsidRPr="006C20C0" w:rsidRDefault="00AD1658" w:rsidP="00AD1658">
            <w:pPr>
              <w:jc w:val="center"/>
              <w:rPr>
                <w:rFonts w:ascii="Century Gothic" w:hAnsi="Century Gothic"/>
                <w:b/>
                <w:bCs/>
                <w:sz w:val="26"/>
                <w:szCs w:val="26"/>
              </w:rPr>
            </w:pPr>
            <w:r w:rsidRPr="006C20C0">
              <w:rPr>
                <w:rFonts w:ascii="Century Gothic" w:hAnsi="Century Gothic"/>
                <w:b/>
                <w:bCs/>
                <w:sz w:val="26"/>
                <w:szCs w:val="26"/>
              </w:rPr>
              <w:t>Ejes articuladores</w:t>
            </w:r>
          </w:p>
        </w:tc>
        <w:tc>
          <w:tcPr>
            <w:tcW w:w="1566" w:type="dxa"/>
            <w:shd w:val="clear" w:color="auto" w:fill="E5F0FF"/>
            <w:vAlign w:val="center"/>
          </w:tcPr>
          <w:p w14:paraId="426A56CE" w14:textId="6F50816E" w:rsidR="00AD1658" w:rsidRPr="006C20C0" w:rsidRDefault="00AD1658" w:rsidP="00AD1658">
            <w:pPr>
              <w:jc w:val="center"/>
              <w:rPr>
                <w:rFonts w:ascii="Century Gothic" w:hAnsi="Century Gothic"/>
                <w:b/>
                <w:bCs/>
                <w:sz w:val="26"/>
                <w:szCs w:val="26"/>
              </w:rPr>
            </w:pPr>
            <w:r w:rsidRPr="006C20C0">
              <w:rPr>
                <w:rFonts w:ascii="Century Gothic" w:hAnsi="Century Gothic"/>
                <w:b/>
                <w:bCs/>
                <w:sz w:val="26"/>
                <w:szCs w:val="26"/>
              </w:rPr>
              <w:t>Escenario</w:t>
            </w:r>
          </w:p>
        </w:tc>
        <w:tc>
          <w:tcPr>
            <w:tcW w:w="2914" w:type="dxa"/>
            <w:shd w:val="clear" w:color="auto" w:fill="E5F0FF"/>
            <w:vAlign w:val="center"/>
          </w:tcPr>
          <w:p w14:paraId="0490FFAC" w14:textId="4AF7C1E6" w:rsidR="00AD1658" w:rsidRPr="006C20C0" w:rsidRDefault="00AD1658" w:rsidP="00AD1658">
            <w:pPr>
              <w:jc w:val="center"/>
              <w:rPr>
                <w:rFonts w:ascii="Century Gothic" w:hAnsi="Century Gothic"/>
                <w:b/>
                <w:bCs/>
                <w:sz w:val="26"/>
                <w:szCs w:val="26"/>
              </w:rPr>
            </w:pPr>
            <w:r w:rsidRPr="006C20C0">
              <w:rPr>
                <w:rFonts w:ascii="Century Gothic" w:hAnsi="Century Gothic"/>
                <w:b/>
                <w:bCs/>
                <w:sz w:val="26"/>
                <w:szCs w:val="26"/>
              </w:rPr>
              <w:t>Nombre del proyecto</w:t>
            </w:r>
          </w:p>
        </w:tc>
        <w:tc>
          <w:tcPr>
            <w:tcW w:w="3801" w:type="dxa"/>
            <w:shd w:val="clear" w:color="auto" w:fill="E5F0FF"/>
            <w:vAlign w:val="center"/>
          </w:tcPr>
          <w:p w14:paraId="49AD0D00" w14:textId="0DD44579" w:rsidR="00AD1658" w:rsidRPr="006C20C0" w:rsidRDefault="00AD1658" w:rsidP="00AD1658">
            <w:pPr>
              <w:jc w:val="center"/>
              <w:rPr>
                <w:rFonts w:ascii="Century Gothic" w:hAnsi="Century Gothic"/>
                <w:b/>
                <w:bCs/>
                <w:sz w:val="26"/>
                <w:szCs w:val="26"/>
              </w:rPr>
            </w:pPr>
            <w:r w:rsidRPr="006C20C0">
              <w:rPr>
                <w:rFonts w:ascii="Century Gothic" w:hAnsi="Century Gothic"/>
                <w:b/>
                <w:bCs/>
                <w:sz w:val="26"/>
                <w:szCs w:val="26"/>
              </w:rPr>
              <w:t>Propósito</w:t>
            </w:r>
          </w:p>
        </w:tc>
      </w:tr>
      <w:tr w:rsidR="007E1C82" w:rsidRPr="006C20C0" w14:paraId="3E0896F7" w14:textId="77777777" w:rsidTr="006C20C0">
        <w:tc>
          <w:tcPr>
            <w:tcW w:w="3081" w:type="dxa"/>
            <w:vAlign w:val="center"/>
          </w:tcPr>
          <w:p w14:paraId="2615CD50" w14:textId="564E5498" w:rsidR="007E1C82" w:rsidRPr="006C20C0" w:rsidRDefault="006C20C0" w:rsidP="007E1C82">
            <w:pPr>
              <w:rPr>
                <w:rFonts w:ascii="Century Gothic" w:hAnsi="Century Gothic"/>
              </w:rPr>
            </w:pPr>
            <w:r w:rsidRPr="006C20C0">
              <w:rPr>
                <w:rFonts w:ascii="Century Gothic" w:hAnsi="Century Gothic"/>
                <w:kern w:val="0"/>
                <w14:ligatures w14:val="none"/>
              </w:rPr>
              <w:t>Ética, naturaleza y sociedades</w:t>
            </w:r>
          </w:p>
        </w:tc>
        <w:tc>
          <w:tcPr>
            <w:tcW w:w="3028" w:type="dxa"/>
            <w:vAlign w:val="center"/>
          </w:tcPr>
          <w:p w14:paraId="5BC2FE67" w14:textId="77777777" w:rsidR="006C20C0" w:rsidRPr="006C20C0" w:rsidRDefault="006C20C0" w:rsidP="006C20C0">
            <w:pPr>
              <w:rPr>
                <w:rFonts w:ascii="Century Gothic" w:hAnsi="Century Gothic"/>
              </w:rPr>
            </w:pPr>
            <w:r w:rsidRPr="006C20C0">
              <w:rPr>
                <w:rFonts w:ascii="Century Gothic" w:hAnsi="Century Gothic"/>
              </w:rPr>
              <w:t>Pensamiento crítico</w:t>
            </w:r>
          </w:p>
          <w:p w14:paraId="49526726" w14:textId="77777777" w:rsidR="006C20C0" w:rsidRPr="006C20C0" w:rsidRDefault="006C20C0" w:rsidP="006C20C0">
            <w:pPr>
              <w:rPr>
                <w:rFonts w:ascii="Century Gothic" w:hAnsi="Century Gothic"/>
              </w:rPr>
            </w:pPr>
            <w:r w:rsidRPr="006C20C0">
              <w:rPr>
                <w:rFonts w:ascii="Century Gothic" w:hAnsi="Century Gothic"/>
                <w:sz w:val="24"/>
                <w:szCs w:val="24"/>
              </w:rPr>
              <w:t xml:space="preserve">Vida </w:t>
            </w:r>
            <w:r w:rsidRPr="006C20C0">
              <w:rPr>
                <w:rFonts w:ascii="Century Gothic" w:hAnsi="Century Gothic"/>
              </w:rPr>
              <w:t>saludable</w:t>
            </w:r>
          </w:p>
          <w:p w14:paraId="2D724138" w14:textId="5543CE9E" w:rsidR="007E1C82" w:rsidRPr="006C20C0" w:rsidRDefault="007E1C82" w:rsidP="007E1C82">
            <w:pPr>
              <w:rPr>
                <w:rFonts w:ascii="Century Gothic" w:hAnsi="Century Gothic"/>
              </w:rPr>
            </w:pPr>
          </w:p>
        </w:tc>
        <w:tc>
          <w:tcPr>
            <w:tcW w:w="1566" w:type="dxa"/>
            <w:vAlign w:val="center"/>
          </w:tcPr>
          <w:p w14:paraId="161A3F36" w14:textId="77777777" w:rsidR="007E1C82" w:rsidRPr="006C20C0" w:rsidRDefault="007E1C82" w:rsidP="007E1C82">
            <w:pPr>
              <w:jc w:val="center"/>
              <w:rPr>
                <w:rFonts w:ascii="Century Gothic" w:hAnsi="Century Gothic" w:cs="Tahoma"/>
                <w:sz w:val="24"/>
                <w:szCs w:val="24"/>
              </w:rPr>
            </w:pPr>
            <w:r w:rsidRPr="006C20C0">
              <w:rPr>
                <w:rFonts w:ascii="Century Gothic" w:hAnsi="Century Gothic" w:cs="Tahoma"/>
                <w:sz w:val="24"/>
                <w:szCs w:val="24"/>
              </w:rPr>
              <w:t>Comunitario.</w:t>
            </w:r>
          </w:p>
          <w:p w14:paraId="133CBBF1" w14:textId="07F7A807" w:rsidR="007E1C82" w:rsidRPr="006C20C0" w:rsidRDefault="007E1C82" w:rsidP="007E1C82">
            <w:pPr>
              <w:rPr>
                <w:rFonts w:ascii="Century Gothic" w:hAnsi="Century Gothic"/>
              </w:rPr>
            </w:pPr>
            <w:r w:rsidRPr="006C20C0">
              <w:rPr>
                <w:rFonts w:ascii="Century Gothic" w:hAnsi="Century Gothic" w:cs="Tahoma"/>
                <w:sz w:val="24"/>
                <w:szCs w:val="24"/>
              </w:rPr>
              <w:t>Páginas de la 218 a la 231.</w:t>
            </w:r>
          </w:p>
        </w:tc>
        <w:tc>
          <w:tcPr>
            <w:tcW w:w="2914" w:type="dxa"/>
            <w:vAlign w:val="center"/>
          </w:tcPr>
          <w:p w14:paraId="1C02C1AD" w14:textId="6E157B98" w:rsidR="007E1C82" w:rsidRPr="006C20C0" w:rsidRDefault="007E1C82" w:rsidP="007E1C82">
            <w:pPr>
              <w:rPr>
                <w:rFonts w:ascii="Century Gothic" w:hAnsi="Century Gothic"/>
              </w:rPr>
            </w:pPr>
            <w:r w:rsidRPr="006C20C0">
              <w:rPr>
                <w:rFonts w:ascii="Century Gothic" w:hAnsi="Century Gothic" w:cs="Arial"/>
                <w:sz w:val="24"/>
                <w:szCs w:val="24"/>
              </w:rPr>
              <w:t>Nos preparamos ante los desastres.</w:t>
            </w:r>
          </w:p>
        </w:tc>
        <w:tc>
          <w:tcPr>
            <w:tcW w:w="3801" w:type="dxa"/>
            <w:vAlign w:val="center"/>
          </w:tcPr>
          <w:p w14:paraId="30CCDB5F" w14:textId="6A747492" w:rsidR="007E1C82" w:rsidRPr="006C20C0" w:rsidRDefault="007E1C82" w:rsidP="007E1C82">
            <w:pPr>
              <w:rPr>
                <w:rFonts w:ascii="Century Gothic" w:hAnsi="Century Gothic"/>
              </w:rPr>
            </w:pPr>
            <w:r w:rsidRPr="006C20C0">
              <w:rPr>
                <w:rFonts w:ascii="Century Gothic" w:hAnsi="Century Gothic" w:cs="Arial"/>
                <w:sz w:val="24"/>
                <w:szCs w:val="24"/>
              </w:rPr>
              <w:t>Realizar una maqueta de prevención para representar los riesgos de desastre que pueden ser causados por fenómenos naturales en su comunidad y proponer acciones para actuar desde una cultura de prevención.</w:t>
            </w:r>
          </w:p>
        </w:tc>
      </w:tr>
      <w:tr w:rsidR="007E1C82" w:rsidRPr="006C20C0" w14:paraId="11363062" w14:textId="77777777" w:rsidTr="006C20C0">
        <w:tc>
          <w:tcPr>
            <w:tcW w:w="3081" w:type="dxa"/>
            <w:vAlign w:val="center"/>
          </w:tcPr>
          <w:p w14:paraId="6A945832" w14:textId="1E9F7AFA" w:rsidR="007E1C82" w:rsidRPr="006C20C0" w:rsidRDefault="006C20C0" w:rsidP="007E1C82">
            <w:pPr>
              <w:rPr>
                <w:rFonts w:ascii="Century Gothic" w:hAnsi="Century Gothic"/>
              </w:rPr>
            </w:pPr>
            <w:r w:rsidRPr="006C20C0">
              <w:rPr>
                <w:rFonts w:ascii="Century Gothic" w:hAnsi="Century Gothic"/>
                <w:kern w:val="0"/>
                <w14:ligatures w14:val="none"/>
              </w:rPr>
              <w:t>Saberes y pensamiento científico</w:t>
            </w:r>
          </w:p>
        </w:tc>
        <w:tc>
          <w:tcPr>
            <w:tcW w:w="3028" w:type="dxa"/>
            <w:vAlign w:val="center"/>
          </w:tcPr>
          <w:p w14:paraId="779DAA2B" w14:textId="77777777" w:rsidR="006C20C0" w:rsidRPr="006C20C0" w:rsidRDefault="006C20C0" w:rsidP="006C20C0">
            <w:pPr>
              <w:rPr>
                <w:rFonts w:ascii="Century Gothic" w:hAnsi="Century Gothic"/>
              </w:rPr>
            </w:pPr>
            <w:r w:rsidRPr="006C20C0">
              <w:rPr>
                <w:rFonts w:ascii="Century Gothic" w:hAnsi="Century Gothic"/>
              </w:rPr>
              <w:t>Pensamiento crítico</w:t>
            </w:r>
          </w:p>
          <w:p w14:paraId="662BED33" w14:textId="77777777" w:rsidR="006C20C0" w:rsidRPr="006C20C0" w:rsidRDefault="006C20C0" w:rsidP="006C20C0">
            <w:pPr>
              <w:rPr>
                <w:rFonts w:ascii="Century Gothic" w:hAnsi="Century Gothic"/>
              </w:rPr>
            </w:pPr>
            <w:r w:rsidRPr="006C20C0">
              <w:rPr>
                <w:rFonts w:ascii="Century Gothic" w:hAnsi="Century Gothic"/>
                <w:sz w:val="24"/>
                <w:szCs w:val="24"/>
              </w:rPr>
              <w:t xml:space="preserve">Vida </w:t>
            </w:r>
            <w:r w:rsidRPr="006C20C0">
              <w:rPr>
                <w:rFonts w:ascii="Century Gothic" w:hAnsi="Century Gothic"/>
              </w:rPr>
              <w:t>saludable</w:t>
            </w:r>
          </w:p>
          <w:p w14:paraId="5C49757A" w14:textId="77777777" w:rsidR="006C20C0" w:rsidRPr="006C20C0" w:rsidRDefault="006C20C0" w:rsidP="006C20C0">
            <w:pPr>
              <w:rPr>
                <w:rFonts w:ascii="Century Gothic" w:hAnsi="Century Gothic"/>
              </w:rPr>
            </w:pPr>
            <w:r w:rsidRPr="006C20C0">
              <w:rPr>
                <w:rFonts w:ascii="Century Gothic" w:hAnsi="Century Gothic"/>
              </w:rPr>
              <w:t xml:space="preserve">Artes y experiencias estéticas </w:t>
            </w:r>
          </w:p>
          <w:p w14:paraId="78D5DEDD" w14:textId="77777777" w:rsidR="006C20C0" w:rsidRPr="006C20C0" w:rsidRDefault="006C20C0" w:rsidP="006C20C0">
            <w:pPr>
              <w:rPr>
                <w:rFonts w:ascii="Century Gothic" w:hAnsi="Century Gothic"/>
              </w:rPr>
            </w:pPr>
          </w:p>
          <w:p w14:paraId="38B72C51" w14:textId="77777777" w:rsidR="006C20C0" w:rsidRPr="006C20C0" w:rsidRDefault="006C20C0" w:rsidP="006C20C0">
            <w:pPr>
              <w:rPr>
                <w:rFonts w:ascii="Century Gothic" w:hAnsi="Century Gothic"/>
              </w:rPr>
            </w:pPr>
          </w:p>
          <w:p w14:paraId="58086788" w14:textId="34FA4B3E" w:rsidR="007E1C82" w:rsidRPr="006C20C0" w:rsidRDefault="007E1C82" w:rsidP="007E1C82">
            <w:pPr>
              <w:rPr>
                <w:rFonts w:ascii="Century Gothic" w:hAnsi="Century Gothic"/>
              </w:rPr>
            </w:pPr>
          </w:p>
        </w:tc>
        <w:tc>
          <w:tcPr>
            <w:tcW w:w="1566" w:type="dxa"/>
            <w:vAlign w:val="center"/>
          </w:tcPr>
          <w:p w14:paraId="10A901A6" w14:textId="77777777" w:rsidR="007E1C82" w:rsidRPr="006C20C0" w:rsidRDefault="007E1C82" w:rsidP="007E1C82">
            <w:pPr>
              <w:jc w:val="center"/>
              <w:rPr>
                <w:rFonts w:ascii="Century Gothic" w:hAnsi="Century Gothic" w:cs="Tahoma"/>
                <w:sz w:val="24"/>
                <w:szCs w:val="24"/>
              </w:rPr>
            </w:pPr>
            <w:r w:rsidRPr="006C20C0">
              <w:rPr>
                <w:rFonts w:ascii="Century Gothic" w:hAnsi="Century Gothic" w:cs="Tahoma"/>
                <w:sz w:val="24"/>
                <w:szCs w:val="24"/>
              </w:rPr>
              <w:t>Comunitario.</w:t>
            </w:r>
          </w:p>
          <w:p w14:paraId="55789F6D" w14:textId="3EB0F367" w:rsidR="007E1C82" w:rsidRPr="006C20C0" w:rsidRDefault="007E1C82" w:rsidP="007E1C82">
            <w:pPr>
              <w:rPr>
                <w:rFonts w:ascii="Century Gothic" w:hAnsi="Century Gothic"/>
              </w:rPr>
            </w:pPr>
            <w:r w:rsidRPr="006C20C0">
              <w:rPr>
                <w:rFonts w:ascii="Century Gothic" w:hAnsi="Century Gothic" w:cs="Tahoma"/>
                <w:sz w:val="24"/>
                <w:szCs w:val="24"/>
              </w:rPr>
              <w:t>Páginas de la 102 a la 113.</w:t>
            </w:r>
          </w:p>
        </w:tc>
        <w:tc>
          <w:tcPr>
            <w:tcW w:w="2914" w:type="dxa"/>
            <w:vAlign w:val="center"/>
          </w:tcPr>
          <w:p w14:paraId="0F88FC55" w14:textId="63AB1185" w:rsidR="007E1C82" w:rsidRPr="006C20C0" w:rsidRDefault="007E1C82" w:rsidP="007E1C82">
            <w:pPr>
              <w:rPr>
                <w:rFonts w:ascii="Century Gothic" w:hAnsi="Century Gothic"/>
              </w:rPr>
            </w:pPr>
            <w:r w:rsidRPr="006C20C0">
              <w:rPr>
                <w:rFonts w:ascii="Century Gothic" w:hAnsi="Century Gothic" w:cs="Arial"/>
                <w:sz w:val="24"/>
                <w:szCs w:val="24"/>
              </w:rPr>
              <w:t>¡Ganar, ganar!</w:t>
            </w:r>
          </w:p>
        </w:tc>
        <w:tc>
          <w:tcPr>
            <w:tcW w:w="3801" w:type="dxa"/>
            <w:vAlign w:val="center"/>
          </w:tcPr>
          <w:p w14:paraId="1544F34B" w14:textId="515DBC14" w:rsidR="007E1C82" w:rsidRPr="006C20C0" w:rsidRDefault="007E1C82" w:rsidP="007E1C82">
            <w:pPr>
              <w:rPr>
                <w:rFonts w:ascii="Century Gothic" w:hAnsi="Century Gothic"/>
              </w:rPr>
            </w:pPr>
            <w:r w:rsidRPr="006C20C0">
              <w:rPr>
                <w:rFonts w:ascii="Century Gothic" w:hAnsi="Century Gothic" w:cs="Arial"/>
                <w:sz w:val="24"/>
                <w:szCs w:val="24"/>
              </w:rPr>
              <w:t>Hacer un recorrido con integrantes de su comunidad. Juntos, visitar distintos comercios para elaborar un control de gastos que les permita reconocer los beneficios de consumir alimentos frescos en comparación con los alimentos procesados y tomar decisiones que les permitan cuidar el gasto familiar.</w:t>
            </w:r>
          </w:p>
        </w:tc>
      </w:tr>
      <w:tr w:rsidR="007E1C82" w:rsidRPr="006C20C0" w14:paraId="28903A2D" w14:textId="77777777" w:rsidTr="006C20C0">
        <w:tc>
          <w:tcPr>
            <w:tcW w:w="3081" w:type="dxa"/>
            <w:vAlign w:val="center"/>
          </w:tcPr>
          <w:p w14:paraId="66EAD28D" w14:textId="3F48BF0C" w:rsidR="007E1C82" w:rsidRPr="006C20C0" w:rsidRDefault="006C20C0" w:rsidP="007E1C82">
            <w:pPr>
              <w:rPr>
                <w:rFonts w:ascii="Century Gothic" w:hAnsi="Century Gothic"/>
              </w:rPr>
            </w:pPr>
            <w:r w:rsidRPr="006C20C0">
              <w:rPr>
                <w:rFonts w:ascii="Century Gothic" w:hAnsi="Century Gothic"/>
                <w:kern w:val="0"/>
                <w14:ligatures w14:val="none"/>
              </w:rPr>
              <w:t>Lenguajes</w:t>
            </w:r>
          </w:p>
        </w:tc>
        <w:tc>
          <w:tcPr>
            <w:tcW w:w="3028" w:type="dxa"/>
            <w:vAlign w:val="center"/>
          </w:tcPr>
          <w:p w14:paraId="7696273C" w14:textId="77777777" w:rsidR="006C20C0" w:rsidRPr="006C20C0" w:rsidRDefault="006C20C0" w:rsidP="006C20C0">
            <w:pPr>
              <w:rPr>
                <w:rFonts w:ascii="Century Gothic" w:hAnsi="Century Gothic"/>
              </w:rPr>
            </w:pPr>
            <w:r w:rsidRPr="006C20C0">
              <w:rPr>
                <w:rFonts w:ascii="Century Gothic" w:hAnsi="Century Gothic"/>
              </w:rPr>
              <w:t>Pensamiento crítico</w:t>
            </w:r>
          </w:p>
          <w:p w14:paraId="0DB1A531" w14:textId="77777777" w:rsidR="006C20C0" w:rsidRPr="006C20C0" w:rsidRDefault="006C20C0" w:rsidP="006C20C0">
            <w:pPr>
              <w:rPr>
                <w:rFonts w:ascii="Century Gothic" w:hAnsi="Century Gothic"/>
              </w:rPr>
            </w:pPr>
          </w:p>
          <w:p w14:paraId="731B008B" w14:textId="77777777" w:rsidR="006C20C0" w:rsidRPr="006C20C0" w:rsidRDefault="006C20C0" w:rsidP="006C20C0">
            <w:pPr>
              <w:rPr>
                <w:rFonts w:ascii="Century Gothic" w:hAnsi="Century Gothic"/>
              </w:rPr>
            </w:pPr>
            <w:r w:rsidRPr="006C20C0">
              <w:rPr>
                <w:rFonts w:ascii="Century Gothic" w:hAnsi="Century Gothic"/>
              </w:rPr>
              <w:t xml:space="preserve">Artes y experiencias estéticas </w:t>
            </w:r>
          </w:p>
          <w:p w14:paraId="3C03276B" w14:textId="77777777" w:rsidR="006C20C0" w:rsidRPr="006C20C0" w:rsidRDefault="006C20C0" w:rsidP="006C20C0">
            <w:pPr>
              <w:rPr>
                <w:rFonts w:ascii="Century Gothic" w:hAnsi="Century Gothic"/>
              </w:rPr>
            </w:pPr>
            <w:r w:rsidRPr="006C20C0">
              <w:rPr>
                <w:rFonts w:ascii="Century Gothic" w:hAnsi="Century Gothic"/>
              </w:rPr>
              <w:t xml:space="preserve">Interculturalidad critica </w:t>
            </w:r>
          </w:p>
          <w:p w14:paraId="11010E10" w14:textId="77777777" w:rsidR="006C20C0" w:rsidRPr="006C20C0" w:rsidRDefault="006C20C0" w:rsidP="006C20C0">
            <w:pPr>
              <w:rPr>
                <w:rFonts w:ascii="Century Gothic" w:hAnsi="Century Gothic"/>
              </w:rPr>
            </w:pPr>
            <w:r w:rsidRPr="006C20C0">
              <w:rPr>
                <w:rFonts w:ascii="Century Gothic" w:hAnsi="Century Gothic"/>
              </w:rPr>
              <w:t xml:space="preserve">Apropiación de las culturas a través de la lectura y la escritura </w:t>
            </w:r>
          </w:p>
          <w:p w14:paraId="599C58D7" w14:textId="4386A27A" w:rsidR="007E1C82" w:rsidRPr="006C20C0" w:rsidRDefault="007E1C82" w:rsidP="007E1C82">
            <w:pPr>
              <w:rPr>
                <w:rFonts w:ascii="Century Gothic" w:hAnsi="Century Gothic"/>
              </w:rPr>
            </w:pPr>
          </w:p>
        </w:tc>
        <w:tc>
          <w:tcPr>
            <w:tcW w:w="1566" w:type="dxa"/>
            <w:vAlign w:val="center"/>
          </w:tcPr>
          <w:p w14:paraId="1405269B" w14:textId="77777777" w:rsidR="007E1C82" w:rsidRPr="006C20C0" w:rsidRDefault="007E1C82" w:rsidP="007E1C82">
            <w:pPr>
              <w:jc w:val="center"/>
              <w:rPr>
                <w:rFonts w:ascii="Century Gothic" w:hAnsi="Century Gothic" w:cs="Tahoma"/>
                <w:sz w:val="24"/>
                <w:szCs w:val="24"/>
              </w:rPr>
            </w:pPr>
            <w:r w:rsidRPr="006C20C0">
              <w:rPr>
                <w:rFonts w:ascii="Century Gothic" w:hAnsi="Century Gothic" w:cs="Tahoma"/>
                <w:sz w:val="24"/>
                <w:szCs w:val="24"/>
              </w:rPr>
              <w:t>Escolar.</w:t>
            </w:r>
          </w:p>
          <w:p w14:paraId="5E092657" w14:textId="24A6CBE5" w:rsidR="007E1C82" w:rsidRPr="006C20C0" w:rsidRDefault="007E1C82" w:rsidP="007E1C82">
            <w:pPr>
              <w:rPr>
                <w:rFonts w:ascii="Century Gothic" w:hAnsi="Century Gothic"/>
              </w:rPr>
            </w:pPr>
            <w:r w:rsidRPr="006C20C0">
              <w:rPr>
                <w:rFonts w:ascii="Century Gothic" w:hAnsi="Century Gothic" w:cs="Tahoma"/>
                <w:sz w:val="24"/>
                <w:szCs w:val="24"/>
              </w:rPr>
              <w:t>Páginas de la 60 a la 71.</w:t>
            </w:r>
          </w:p>
        </w:tc>
        <w:tc>
          <w:tcPr>
            <w:tcW w:w="2914" w:type="dxa"/>
            <w:vAlign w:val="center"/>
          </w:tcPr>
          <w:p w14:paraId="2010C993" w14:textId="720464F4" w:rsidR="007E1C82" w:rsidRPr="006C20C0" w:rsidRDefault="007E1C82" w:rsidP="007E1C82">
            <w:pPr>
              <w:rPr>
                <w:rFonts w:ascii="Century Gothic" w:hAnsi="Century Gothic"/>
              </w:rPr>
            </w:pPr>
            <w:r w:rsidRPr="006C20C0">
              <w:rPr>
                <w:rFonts w:ascii="Century Gothic" w:hAnsi="Century Gothic" w:cs="Arial"/>
                <w:sz w:val="24"/>
                <w:szCs w:val="24"/>
              </w:rPr>
              <w:t>Conozcamos nuestras lenguas.</w:t>
            </w:r>
          </w:p>
        </w:tc>
        <w:tc>
          <w:tcPr>
            <w:tcW w:w="3801" w:type="dxa"/>
            <w:vAlign w:val="center"/>
          </w:tcPr>
          <w:p w14:paraId="3F11CA71" w14:textId="5A7B512E" w:rsidR="007E1C82" w:rsidRPr="006C20C0" w:rsidRDefault="007E1C82" w:rsidP="007E1C82">
            <w:pPr>
              <w:rPr>
                <w:rFonts w:ascii="Century Gothic" w:hAnsi="Century Gothic"/>
              </w:rPr>
            </w:pPr>
            <w:r w:rsidRPr="006C20C0">
              <w:rPr>
                <w:rFonts w:ascii="Century Gothic" w:hAnsi="Century Gothic" w:cs="Arial"/>
                <w:sz w:val="24"/>
                <w:szCs w:val="24"/>
              </w:rPr>
              <w:t>Conocer la diversidad lingüística de nuestro país y crear su propio diccionario.</w:t>
            </w:r>
          </w:p>
        </w:tc>
      </w:tr>
    </w:tbl>
    <w:p w14:paraId="099E919D" w14:textId="77777777" w:rsidR="002F59BC" w:rsidRPr="006C20C0" w:rsidRDefault="002F59BC">
      <w:pPr>
        <w:rPr>
          <w:rFonts w:ascii="Century Gothic" w:hAnsi="Century Gothic"/>
        </w:rPr>
      </w:pPr>
    </w:p>
    <w:sectPr w:rsidR="002F59BC" w:rsidRPr="006C20C0" w:rsidSect="0031758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17F3" w14:textId="77777777" w:rsidR="0031758C" w:rsidRDefault="0031758C" w:rsidP="0040208D">
      <w:pPr>
        <w:spacing w:after="0" w:line="240" w:lineRule="auto"/>
      </w:pPr>
      <w:r>
        <w:separator/>
      </w:r>
    </w:p>
  </w:endnote>
  <w:endnote w:type="continuationSeparator" w:id="0">
    <w:p w14:paraId="50A51EF3" w14:textId="77777777" w:rsidR="0031758C" w:rsidRDefault="0031758C"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E622" w14:textId="77777777" w:rsidR="0031758C" w:rsidRDefault="0031758C" w:rsidP="0040208D">
      <w:pPr>
        <w:spacing w:after="0" w:line="240" w:lineRule="auto"/>
      </w:pPr>
      <w:r>
        <w:separator/>
      </w:r>
    </w:p>
  </w:footnote>
  <w:footnote w:type="continuationSeparator" w:id="0">
    <w:p w14:paraId="346C45ED" w14:textId="77777777" w:rsidR="0031758C" w:rsidRDefault="0031758C"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2F59BC"/>
    <w:rsid w:val="0031758C"/>
    <w:rsid w:val="00332733"/>
    <w:rsid w:val="0040208D"/>
    <w:rsid w:val="004104AA"/>
    <w:rsid w:val="006C20C0"/>
    <w:rsid w:val="00711889"/>
    <w:rsid w:val="0072408D"/>
    <w:rsid w:val="007313AC"/>
    <w:rsid w:val="007E1C82"/>
    <w:rsid w:val="009A14DE"/>
    <w:rsid w:val="009A5BC5"/>
    <w:rsid w:val="00AD1658"/>
    <w:rsid w:val="00B474F4"/>
    <w:rsid w:val="00B51E4C"/>
    <w:rsid w:val="00E217F1"/>
    <w:rsid w:val="00E94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226984">
      <w:bodyDiv w:val="1"/>
      <w:marLeft w:val="0"/>
      <w:marRight w:val="0"/>
      <w:marTop w:val="0"/>
      <w:marBottom w:val="0"/>
      <w:divBdr>
        <w:top w:val="none" w:sz="0" w:space="0" w:color="auto"/>
        <w:left w:val="none" w:sz="0" w:space="0" w:color="auto"/>
        <w:bottom w:val="none" w:sz="0" w:space="0" w:color="auto"/>
        <w:right w:val="none" w:sz="0" w:space="0" w:color="auto"/>
      </w:divBdr>
    </w:div>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599143931">
      <w:bodyDiv w:val="1"/>
      <w:marLeft w:val="0"/>
      <w:marRight w:val="0"/>
      <w:marTop w:val="0"/>
      <w:marBottom w:val="0"/>
      <w:divBdr>
        <w:top w:val="none" w:sz="0" w:space="0" w:color="auto"/>
        <w:left w:val="none" w:sz="0" w:space="0" w:color="auto"/>
        <w:bottom w:val="none" w:sz="0" w:space="0" w:color="auto"/>
        <w:right w:val="none" w:sz="0" w:space="0" w:color="auto"/>
      </w:divBdr>
    </w:div>
    <w:div w:id="827674165">
      <w:bodyDiv w:val="1"/>
      <w:marLeft w:val="0"/>
      <w:marRight w:val="0"/>
      <w:marTop w:val="0"/>
      <w:marBottom w:val="0"/>
      <w:divBdr>
        <w:top w:val="none" w:sz="0" w:space="0" w:color="auto"/>
        <w:left w:val="none" w:sz="0" w:space="0" w:color="auto"/>
        <w:bottom w:val="none" w:sz="0" w:space="0" w:color="auto"/>
        <w:right w:val="none" w:sz="0" w:space="0" w:color="auto"/>
      </w:divBdr>
    </w:div>
    <w:div w:id="951474209">
      <w:bodyDiv w:val="1"/>
      <w:marLeft w:val="0"/>
      <w:marRight w:val="0"/>
      <w:marTop w:val="0"/>
      <w:marBottom w:val="0"/>
      <w:divBdr>
        <w:top w:val="none" w:sz="0" w:space="0" w:color="auto"/>
        <w:left w:val="none" w:sz="0" w:space="0" w:color="auto"/>
        <w:bottom w:val="none" w:sz="0" w:space="0" w:color="auto"/>
        <w:right w:val="none" w:sz="0" w:space="0" w:color="auto"/>
      </w:divBdr>
    </w:div>
    <w:div w:id="1154374888">
      <w:bodyDiv w:val="1"/>
      <w:marLeft w:val="0"/>
      <w:marRight w:val="0"/>
      <w:marTop w:val="0"/>
      <w:marBottom w:val="0"/>
      <w:divBdr>
        <w:top w:val="none" w:sz="0" w:space="0" w:color="auto"/>
        <w:left w:val="none" w:sz="0" w:space="0" w:color="auto"/>
        <w:bottom w:val="none" w:sz="0" w:space="0" w:color="auto"/>
        <w:right w:val="none" w:sz="0" w:space="0" w:color="auto"/>
      </w:divBdr>
    </w:div>
    <w:div w:id="1809009073">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2</cp:revision>
  <dcterms:created xsi:type="dcterms:W3CDTF">2023-08-21T19:57:00Z</dcterms:created>
  <dcterms:modified xsi:type="dcterms:W3CDTF">2024-04-06T08:50:00Z</dcterms:modified>
  <cp:category>www.DidacticosMx.com</cp:category>
</cp:coreProperties>
</file>