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D3C5" w14:textId="21CC8C0C" w:rsidR="00027B4F" w:rsidRDefault="00027B4F" w:rsidP="00027B4F">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13</w:t>
      </w:r>
      <w:r>
        <w:rPr>
          <w:rFonts w:ascii="Century Gothic" w:hAnsi="Century Gothic"/>
          <w:b/>
          <w:bCs/>
          <w:color w:val="0D0D0D" w:themeColor="text1" w:themeTint="F2"/>
          <w:sz w:val="44"/>
          <w:szCs w:val="44"/>
        </w:rPr>
        <w:t>:</w:t>
      </w:r>
    </w:p>
    <w:p w14:paraId="0446F553" w14:textId="3D501910" w:rsidR="00027B4F" w:rsidRDefault="00027B4F" w:rsidP="00027B4F">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13</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313E32F1" w14:textId="77777777" w:rsidR="00027B4F" w:rsidRDefault="00027B4F" w:rsidP="00027B4F">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3A350D76" w14:textId="77777777" w:rsidR="00027B4F" w:rsidRDefault="00027B4F" w:rsidP="00027B4F">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20522D67" w14:textId="20C7C979" w:rsidR="00027B4F" w:rsidRDefault="00027B4F" w:rsidP="00027B4F">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13</w:t>
      </w:r>
      <w:r>
        <w:rPr>
          <w:rFonts w:ascii="Century Gothic" w:hAnsi="Century Gothic"/>
          <w:color w:val="0D0D0D" w:themeColor="text1" w:themeTint="F2"/>
          <w:sz w:val="36"/>
          <w:szCs w:val="36"/>
        </w:rPr>
        <w:t xml:space="preserve"> incluye 3 proyectos didácticos.</w:t>
      </w:r>
    </w:p>
    <w:p w14:paraId="68F7E028" w14:textId="77777777" w:rsidR="00027B4F" w:rsidRDefault="00027B4F">
      <w:pPr>
        <w:rPr>
          <w:rFonts w:ascii="Century Gothic" w:hAnsi="Century Gothic"/>
          <w:b/>
          <w:bCs/>
          <w:sz w:val="32"/>
          <w:szCs w:val="32"/>
        </w:rPr>
      </w:pPr>
      <w:r>
        <w:rPr>
          <w:rFonts w:ascii="Century Gothic" w:hAnsi="Century Gothic"/>
          <w:b/>
          <w:bCs/>
          <w:sz w:val="32"/>
          <w:szCs w:val="32"/>
        </w:rPr>
        <w:br w:type="page"/>
      </w:r>
    </w:p>
    <w:p w14:paraId="19ADF972" w14:textId="070514B4" w:rsidR="00AD1658" w:rsidRPr="00BF369D" w:rsidRDefault="000458B3" w:rsidP="000458B3">
      <w:pPr>
        <w:spacing w:after="0"/>
        <w:jc w:val="center"/>
        <w:rPr>
          <w:rFonts w:ascii="Century Gothic" w:hAnsi="Century Gothic"/>
          <w:b/>
          <w:bCs/>
          <w:sz w:val="32"/>
          <w:szCs w:val="32"/>
        </w:rPr>
      </w:pPr>
      <w:r w:rsidRPr="00BF369D">
        <w:rPr>
          <w:rFonts w:ascii="Century Gothic" w:hAnsi="Century Gothic"/>
          <w:b/>
          <w:bCs/>
          <w:sz w:val="32"/>
          <w:szCs w:val="32"/>
        </w:rPr>
        <w:lastRenderedPageBreak/>
        <w:t>2do Grado</w:t>
      </w:r>
    </w:p>
    <w:p w14:paraId="5F7DE1AD" w14:textId="15025FDB" w:rsidR="00E57218" w:rsidRPr="00BF369D" w:rsidRDefault="00E57218" w:rsidP="000458B3">
      <w:pPr>
        <w:spacing w:after="0"/>
        <w:jc w:val="center"/>
        <w:rPr>
          <w:rFonts w:ascii="Century Gothic" w:hAnsi="Century Gothic"/>
          <w:b/>
          <w:bCs/>
          <w:sz w:val="32"/>
          <w:szCs w:val="32"/>
        </w:rPr>
      </w:pPr>
      <w:r w:rsidRPr="00BF369D">
        <w:rPr>
          <w:rFonts w:ascii="Century Gothic" w:hAnsi="Century Gothic"/>
          <w:b/>
          <w:bCs/>
          <w:sz w:val="32"/>
          <w:szCs w:val="32"/>
        </w:rPr>
        <w:t>FECHA</w:t>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3038"/>
        <w:gridCol w:w="2993"/>
        <w:gridCol w:w="1723"/>
        <w:gridCol w:w="2877"/>
        <w:gridCol w:w="3759"/>
      </w:tblGrid>
      <w:tr w:rsidR="00AD1658" w:rsidRPr="00BF369D" w14:paraId="51312299" w14:textId="77777777" w:rsidTr="002C5BA5">
        <w:tc>
          <w:tcPr>
            <w:tcW w:w="14390" w:type="dxa"/>
            <w:gridSpan w:val="5"/>
            <w:shd w:val="clear" w:color="auto" w:fill="FFC5FF"/>
            <w:vAlign w:val="center"/>
          </w:tcPr>
          <w:p w14:paraId="7345A0A7" w14:textId="04C2CF56" w:rsidR="00AD1658" w:rsidRPr="00BF369D" w:rsidRDefault="00E57218" w:rsidP="00AD1658">
            <w:pPr>
              <w:jc w:val="center"/>
              <w:rPr>
                <w:rFonts w:ascii="Century Gothic" w:hAnsi="Century Gothic"/>
                <w:b/>
                <w:bCs/>
                <w:sz w:val="26"/>
                <w:szCs w:val="26"/>
              </w:rPr>
            </w:pPr>
            <w:r w:rsidRPr="00BF369D">
              <w:rPr>
                <w:rFonts w:ascii="Century Gothic" w:hAnsi="Century Gothic"/>
                <w:b/>
                <w:bCs/>
                <w:sz w:val="26"/>
                <w:szCs w:val="26"/>
              </w:rPr>
              <w:t>DOSIFICACIÓN</w:t>
            </w:r>
          </w:p>
        </w:tc>
      </w:tr>
      <w:tr w:rsidR="00AD1658" w:rsidRPr="00BF369D" w14:paraId="0ED89697" w14:textId="77777777" w:rsidTr="00BF369D">
        <w:tc>
          <w:tcPr>
            <w:tcW w:w="3038" w:type="dxa"/>
            <w:shd w:val="clear" w:color="auto" w:fill="FFE7FF"/>
            <w:vAlign w:val="center"/>
          </w:tcPr>
          <w:p w14:paraId="2010CF81" w14:textId="0E05CB10" w:rsidR="00AD1658" w:rsidRPr="00BF369D" w:rsidRDefault="00AD1658" w:rsidP="00AD1658">
            <w:pPr>
              <w:jc w:val="center"/>
              <w:rPr>
                <w:rFonts w:ascii="Century Gothic" w:hAnsi="Century Gothic"/>
                <w:b/>
                <w:bCs/>
                <w:sz w:val="26"/>
                <w:szCs w:val="26"/>
              </w:rPr>
            </w:pPr>
            <w:r w:rsidRPr="00BF369D">
              <w:rPr>
                <w:rFonts w:ascii="Century Gothic" w:hAnsi="Century Gothic"/>
                <w:b/>
                <w:bCs/>
                <w:sz w:val="26"/>
                <w:szCs w:val="26"/>
              </w:rPr>
              <w:t>Campo Formativo</w:t>
            </w:r>
          </w:p>
        </w:tc>
        <w:tc>
          <w:tcPr>
            <w:tcW w:w="2993" w:type="dxa"/>
            <w:shd w:val="clear" w:color="auto" w:fill="FFE7FF"/>
            <w:vAlign w:val="center"/>
          </w:tcPr>
          <w:p w14:paraId="3FF55929" w14:textId="2775533F" w:rsidR="00AD1658" w:rsidRPr="00BF369D" w:rsidRDefault="00AD1658" w:rsidP="00AD1658">
            <w:pPr>
              <w:jc w:val="center"/>
              <w:rPr>
                <w:rFonts w:ascii="Century Gothic" w:hAnsi="Century Gothic"/>
                <w:b/>
                <w:bCs/>
                <w:sz w:val="26"/>
                <w:szCs w:val="26"/>
              </w:rPr>
            </w:pPr>
            <w:r w:rsidRPr="00BF369D">
              <w:rPr>
                <w:rFonts w:ascii="Century Gothic" w:hAnsi="Century Gothic"/>
                <w:b/>
                <w:bCs/>
                <w:sz w:val="26"/>
                <w:szCs w:val="26"/>
              </w:rPr>
              <w:t>Ejes articuladores</w:t>
            </w:r>
          </w:p>
        </w:tc>
        <w:tc>
          <w:tcPr>
            <w:tcW w:w="1723" w:type="dxa"/>
            <w:shd w:val="clear" w:color="auto" w:fill="FFE7FF"/>
            <w:vAlign w:val="center"/>
          </w:tcPr>
          <w:p w14:paraId="426A56CE" w14:textId="6F50816E" w:rsidR="00AD1658" w:rsidRPr="00BF369D" w:rsidRDefault="00AD1658" w:rsidP="00AD1658">
            <w:pPr>
              <w:jc w:val="center"/>
              <w:rPr>
                <w:rFonts w:ascii="Century Gothic" w:hAnsi="Century Gothic"/>
                <w:b/>
                <w:bCs/>
                <w:sz w:val="26"/>
                <w:szCs w:val="26"/>
              </w:rPr>
            </w:pPr>
            <w:r w:rsidRPr="00BF369D">
              <w:rPr>
                <w:rFonts w:ascii="Century Gothic" w:hAnsi="Century Gothic"/>
                <w:b/>
                <w:bCs/>
                <w:sz w:val="26"/>
                <w:szCs w:val="26"/>
              </w:rPr>
              <w:t>Escenario</w:t>
            </w:r>
          </w:p>
        </w:tc>
        <w:tc>
          <w:tcPr>
            <w:tcW w:w="2877" w:type="dxa"/>
            <w:shd w:val="clear" w:color="auto" w:fill="FFE7FF"/>
            <w:vAlign w:val="center"/>
          </w:tcPr>
          <w:p w14:paraId="0490FFAC" w14:textId="4AF7C1E6" w:rsidR="00AD1658" w:rsidRPr="00BF369D" w:rsidRDefault="00AD1658" w:rsidP="00AD1658">
            <w:pPr>
              <w:jc w:val="center"/>
              <w:rPr>
                <w:rFonts w:ascii="Century Gothic" w:hAnsi="Century Gothic"/>
                <w:b/>
                <w:bCs/>
                <w:sz w:val="26"/>
                <w:szCs w:val="26"/>
              </w:rPr>
            </w:pPr>
            <w:r w:rsidRPr="00BF369D">
              <w:rPr>
                <w:rFonts w:ascii="Century Gothic" w:hAnsi="Century Gothic"/>
                <w:b/>
                <w:bCs/>
                <w:sz w:val="26"/>
                <w:szCs w:val="26"/>
              </w:rPr>
              <w:t>Nombre del proyecto</w:t>
            </w:r>
          </w:p>
        </w:tc>
        <w:tc>
          <w:tcPr>
            <w:tcW w:w="3759" w:type="dxa"/>
            <w:shd w:val="clear" w:color="auto" w:fill="FFE7FF"/>
            <w:vAlign w:val="center"/>
          </w:tcPr>
          <w:p w14:paraId="49AD0D00" w14:textId="0DD44579" w:rsidR="00AD1658" w:rsidRPr="00BF369D" w:rsidRDefault="00AD1658" w:rsidP="00AD1658">
            <w:pPr>
              <w:jc w:val="center"/>
              <w:rPr>
                <w:rFonts w:ascii="Century Gothic" w:hAnsi="Century Gothic"/>
                <w:b/>
                <w:bCs/>
                <w:sz w:val="26"/>
                <w:szCs w:val="26"/>
              </w:rPr>
            </w:pPr>
            <w:r w:rsidRPr="00BF369D">
              <w:rPr>
                <w:rFonts w:ascii="Century Gothic" w:hAnsi="Century Gothic"/>
                <w:b/>
                <w:bCs/>
                <w:sz w:val="26"/>
                <w:szCs w:val="26"/>
              </w:rPr>
              <w:t>Propósito</w:t>
            </w:r>
          </w:p>
        </w:tc>
      </w:tr>
      <w:tr w:rsidR="00BF369D" w:rsidRPr="00BF369D" w14:paraId="3E0896F7" w14:textId="77777777" w:rsidTr="00BF369D">
        <w:tc>
          <w:tcPr>
            <w:tcW w:w="3038" w:type="dxa"/>
            <w:vAlign w:val="center"/>
          </w:tcPr>
          <w:p w14:paraId="2615CD50" w14:textId="31C110CB" w:rsidR="00BF369D" w:rsidRPr="00BF369D" w:rsidRDefault="00BF369D" w:rsidP="00BF369D">
            <w:pPr>
              <w:rPr>
                <w:rFonts w:ascii="Century Gothic" w:hAnsi="Century Gothic"/>
                <w:sz w:val="24"/>
                <w:szCs w:val="24"/>
              </w:rPr>
            </w:pPr>
            <w:r w:rsidRPr="00BF369D">
              <w:rPr>
                <w:rFonts w:ascii="Century Gothic" w:hAnsi="Century Gothic"/>
                <w:kern w:val="0"/>
                <w:sz w:val="24"/>
                <w:szCs w:val="24"/>
                <w14:ligatures w14:val="none"/>
              </w:rPr>
              <w:t>Ética, naturaleza y sociedades</w:t>
            </w:r>
          </w:p>
        </w:tc>
        <w:tc>
          <w:tcPr>
            <w:tcW w:w="2993" w:type="dxa"/>
            <w:vAlign w:val="center"/>
          </w:tcPr>
          <w:p w14:paraId="71AC6B77" w14:textId="77777777" w:rsidR="00BF369D" w:rsidRPr="00BF369D" w:rsidRDefault="00BF369D" w:rsidP="00BF369D">
            <w:pPr>
              <w:spacing w:after="160" w:line="259" w:lineRule="auto"/>
              <w:rPr>
                <w:rFonts w:ascii="Century Gothic" w:eastAsia="Calibri" w:hAnsi="Century Gothic" w:cs="Times New Roman"/>
                <w:sz w:val="24"/>
                <w:szCs w:val="24"/>
              </w:rPr>
            </w:pPr>
            <w:r w:rsidRPr="00BF369D">
              <w:rPr>
                <w:rFonts w:ascii="Century Gothic" w:eastAsia="Calibri" w:hAnsi="Century Gothic" w:cs="Times New Roman"/>
                <w:sz w:val="24"/>
                <w:szCs w:val="24"/>
              </w:rPr>
              <w:t>Pensamiento crítico</w:t>
            </w:r>
          </w:p>
          <w:p w14:paraId="7EA3AC30" w14:textId="77777777" w:rsidR="00BF369D" w:rsidRPr="00BF369D" w:rsidRDefault="00BF369D" w:rsidP="00BF369D">
            <w:pPr>
              <w:spacing w:after="160" w:line="259" w:lineRule="auto"/>
              <w:rPr>
                <w:rFonts w:ascii="Century Gothic" w:eastAsia="Calibri" w:hAnsi="Century Gothic" w:cs="Times New Roman"/>
                <w:sz w:val="24"/>
                <w:szCs w:val="24"/>
              </w:rPr>
            </w:pPr>
            <w:r w:rsidRPr="00BF369D">
              <w:rPr>
                <w:rFonts w:ascii="Century Gothic" w:eastAsia="Calibri" w:hAnsi="Century Gothic" w:cs="Times New Roman"/>
                <w:sz w:val="24"/>
                <w:szCs w:val="24"/>
              </w:rPr>
              <w:t>Vida saludable</w:t>
            </w:r>
          </w:p>
          <w:p w14:paraId="2D724138" w14:textId="5543CE9E" w:rsidR="00BF369D" w:rsidRPr="00BF369D" w:rsidRDefault="00BF369D" w:rsidP="00BF369D">
            <w:pPr>
              <w:rPr>
                <w:rFonts w:ascii="Century Gothic" w:hAnsi="Century Gothic"/>
                <w:sz w:val="24"/>
                <w:szCs w:val="24"/>
              </w:rPr>
            </w:pPr>
          </w:p>
        </w:tc>
        <w:tc>
          <w:tcPr>
            <w:tcW w:w="1723" w:type="dxa"/>
            <w:vAlign w:val="center"/>
          </w:tcPr>
          <w:p w14:paraId="252DFD0D" w14:textId="77777777" w:rsidR="00BF369D" w:rsidRPr="00BF369D" w:rsidRDefault="00BF369D" w:rsidP="00BF369D">
            <w:pPr>
              <w:jc w:val="center"/>
              <w:rPr>
                <w:rFonts w:ascii="Century Gothic" w:hAnsi="Century Gothic" w:cs="Tahoma"/>
                <w:sz w:val="24"/>
                <w:szCs w:val="24"/>
              </w:rPr>
            </w:pPr>
            <w:r w:rsidRPr="00BF369D">
              <w:rPr>
                <w:rFonts w:ascii="Century Gothic" w:hAnsi="Century Gothic" w:cs="Tahoma"/>
                <w:sz w:val="24"/>
                <w:szCs w:val="24"/>
              </w:rPr>
              <w:t>Comunitario.</w:t>
            </w:r>
          </w:p>
          <w:p w14:paraId="133CBBF1" w14:textId="7051A6B9" w:rsidR="00BF369D" w:rsidRPr="00BF369D" w:rsidRDefault="00BF369D" w:rsidP="00BF369D">
            <w:pPr>
              <w:rPr>
                <w:rFonts w:ascii="Century Gothic" w:hAnsi="Century Gothic"/>
                <w:sz w:val="24"/>
                <w:szCs w:val="24"/>
              </w:rPr>
            </w:pPr>
            <w:r w:rsidRPr="00BF369D">
              <w:rPr>
                <w:rFonts w:ascii="Century Gothic" w:hAnsi="Century Gothic" w:cs="Tahoma"/>
                <w:sz w:val="24"/>
                <w:szCs w:val="24"/>
              </w:rPr>
              <w:t>Páginas de la 194 a la 205.</w:t>
            </w:r>
          </w:p>
        </w:tc>
        <w:tc>
          <w:tcPr>
            <w:tcW w:w="2877" w:type="dxa"/>
            <w:vAlign w:val="center"/>
          </w:tcPr>
          <w:p w14:paraId="1C02C1AD" w14:textId="293812CC" w:rsidR="00BF369D" w:rsidRPr="00BF369D" w:rsidRDefault="00BF369D" w:rsidP="00BF369D">
            <w:pPr>
              <w:rPr>
                <w:rFonts w:ascii="Century Gothic" w:hAnsi="Century Gothic"/>
                <w:sz w:val="24"/>
                <w:szCs w:val="24"/>
              </w:rPr>
            </w:pPr>
            <w:r w:rsidRPr="00BF369D">
              <w:rPr>
                <w:rFonts w:ascii="Century Gothic" w:hAnsi="Century Gothic" w:cs="Tahoma"/>
                <w:kern w:val="0"/>
                <w:sz w:val="24"/>
                <w:szCs w:val="24"/>
              </w:rPr>
              <w:t>Los espacios de riesgo de mi comunidad.</w:t>
            </w:r>
          </w:p>
        </w:tc>
        <w:tc>
          <w:tcPr>
            <w:tcW w:w="3759" w:type="dxa"/>
            <w:vAlign w:val="center"/>
          </w:tcPr>
          <w:p w14:paraId="30CCDB5F" w14:textId="55018496" w:rsidR="00BF369D" w:rsidRPr="00BF369D" w:rsidRDefault="00BF369D" w:rsidP="00BF369D">
            <w:pPr>
              <w:rPr>
                <w:rFonts w:ascii="Century Gothic" w:hAnsi="Century Gothic"/>
                <w:sz w:val="24"/>
                <w:szCs w:val="24"/>
              </w:rPr>
            </w:pPr>
            <w:r w:rsidRPr="00BF369D">
              <w:rPr>
                <w:rFonts w:ascii="Century Gothic" w:hAnsi="Century Gothic" w:cs="Arial"/>
                <w:sz w:val="24"/>
                <w:szCs w:val="24"/>
              </w:rPr>
              <w:t>Reconocer los espacios públicos de su comunidad que representan un riesgo y elaborar un croquis de zonas de riesgo.</w:t>
            </w:r>
          </w:p>
        </w:tc>
      </w:tr>
      <w:tr w:rsidR="00BF369D" w:rsidRPr="00BF369D" w14:paraId="11363062" w14:textId="77777777" w:rsidTr="00BF369D">
        <w:tc>
          <w:tcPr>
            <w:tcW w:w="3038" w:type="dxa"/>
            <w:vAlign w:val="center"/>
          </w:tcPr>
          <w:p w14:paraId="6A945832" w14:textId="361E8FE5" w:rsidR="00BF369D" w:rsidRPr="00BF369D" w:rsidRDefault="00BF369D" w:rsidP="00BF369D">
            <w:pPr>
              <w:rPr>
                <w:rFonts w:ascii="Century Gothic" w:hAnsi="Century Gothic"/>
                <w:sz w:val="24"/>
                <w:szCs w:val="24"/>
              </w:rPr>
            </w:pPr>
            <w:r w:rsidRPr="00BF369D">
              <w:rPr>
                <w:rFonts w:ascii="Century Gothic" w:hAnsi="Century Gothic"/>
                <w:sz w:val="24"/>
                <w:szCs w:val="24"/>
              </w:rPr>
              <w:t>Lenguajes</w:t>
            </w:r>
          </w:p>
        </w:tc>
        <w:tc>
          <w:tcPr>
            <w:tcW w:w="2993" w:type="dxa"/>
            <w:vAlign w:val="center"/>
          </w:tcPr>
          <w:p w14:paraId="4A0F8387" w14:textId="77777777" w:rsidR="00BF369D" w:rsidRPr="00BF369D" w:rsidRDefault="00BF369D" w:rsidP="00BF369D">
            <w:pPr>
              <w:spacing w:after="160" w:line="259" w:lineRule="auto"/>
              <w:rPr>
                <w:rFonts w:ascii="Century Gothic" w:eastAsia="Calibri" w:hAnsi="Century Gothic" w:cs="Times New Roman"/>
                <w:sz w:val="24"/>
                <w:szCs w:val="24"/>
              </w:rPr>
            </w:pPr>
            <w:r w:rsidRPr="00BF369D">
              <w:rPr>
                <w:rFonts w:ascii="Century Gothic" w:eastAsia="Calibri" w:hAnsi="Century Gothic" w:cs="Times New Roman"/>
                <w:sz w:val="24"/>
                <w:szCs w:val="24"/>
              </w:rPr>
              <w:t>Inclusión</w:t>
            </w:r>
          </w:p>
          <w:p w14:paraId="50359E9E" w14:textId="77777777" w:rsidR="00BF369D" w:rsidRPr="00BF369D" w:rsidRDefault="00BF369D" w:rsidP="00BF369D">
            <w:pPr>
              <w:spacing w:after="160" w:line="259" w:lineRule="auto"/>
              <w:rPr>
                <w:rFonts w:ascii="Century Gothic" w:eastAsia="Calibri" w:hAnsi="Century Gothic" w:cs="Times New Roman"/>
                <w:sz w:val="24"/>
                <w:szCs w:val="24"/>
              </w:rPr>
            </w:pPr>
            <w:r w:rsidRPr="00BF369D">
              <w:rPr>
                <w:rFonts w:ascii="Century Gothic" w:eastAsia="Calibri" w:hAnsi="Century Gothic" w:cs="Times New Roman"/>
                <w:sz w:val="24"/>
                <w:szCs w:val="24"/>
              </w:rPr>
              <w:t>Pensamiento crítico</w:t>
            </w:r>
          </w:p>
          <w:p w14:paraId="341305AA" w14:textId="77777777" w:rsidR="00BF369D" w:rsidRPr="00BF369D" w:rsidRDefault="00BF369D" w:rsidP="00BF369D">
            <w:pPr>
              <w:spacing w:after="160" w:line="259" w:lineRule="auto"/>
              <w:rPr>
                <w:rFonts w:ascii="Century Gothic" w:eastAsia="Calibri" w:hAnsi="Century Gothic" w:cs="Times New Roman"/>
                <w:sz w:val="24"/>
                <w:szCs w:val="24"/>
              </w:rPr>
            </w:pPr>
            <w:r w:rsidRPr="00BF369D">
              <w:rPr>
                <w:rFonts w:ascii="Century Gothic" w:eastAsia="Calibri" w:hAnsi="Century Gothic" w:cs="Times New Roman"/>
                <w:sz w:val="24"/>
                <w:szCs w:val="24"/>
              </w:rPr>
              <w:t>Igualdad de género</w:t>
            </w:r>
          </w:p>
          <w:p w14:paraId="58086788" w14:textId="34FA4B3E" w:rsidR="00BF369D" w:rsidRPr="00BF369D" w:rsidRDefault="00BF369D" w:rsidP="00BF369D">
            <w:pPr>
              <w:rPr>
                <w:rFonts w:ascii="Century Gothic" w:hAnsi="Century Gothic"/>
                <w:sz w:val="24"/>
                <w:szCs w:val="24"/>
              </w:rPr>
            </w:pPr>
          </w:p>
        </w:tc>
        <w:tc>
          <w:tcPr>
            <w:tcW w:w="1723" w:type="dxa"/>
          </w:tcPr>
          <w:p w14:paraId="36483F44" w14:textId="77777777" w:rsidR="00BF369D" w:rsidRPr="00BF369D" w:rsidRDefault="00BF369D" w:rsidP="00BF369D">
            <w:pPr>
              <w:jc w:val="center"/>
              <w:rPr>
                <w:rFonts w:ascii="Century Gothic" w:hAnsi="Century Gothic" w:cs="Tahoma"/>
                <w:sz w:val="24"/>
                <w:szCs w:val="24"/>
              </w:rPr>
            </w:pPr>
            <w:r w:rsidRPr="00BF369D">
              <w:rPr>
                <w:rFonts w:ascii="Century Gothic" w:hAnsi="Century Gothic" w:cs="Tahoma"/>
                <w:sz w:val="24"/>
                <w:szCs w:val="24"/>
              </w:rPr>
              <w:t>Escolar.</w:t>
            </w:r>
          </w:p>
          <w:p w14:paraId="55789F6D" w14:textId="0CAFE634" w:rsidR="00BF369D" w:rsidRPr="00BF369D" w:rsidRDefault="00BF369D" w:rsidP="00BF369D">
            <w:pPr>
              <w:rPr>
                <w:rFonts w:ascii="Century Gothic" w:hAnsi="Century Gothic"/>
                <w:sz w:val="24"/>
                <w:szCs w:val="24"/>
              </w:rPr>
            </w:pPr>
            <w:r w:rsidRPr="00BF369D">
              <w:rPr>
                <w:rFonts w:ascii="Century Gothic" w:hAnsi="Century Gothic" w:cs="Tahoma"/>
                <w:sz w:val="24"/>
                <w:szCs w:val="24"/>
              </w:rPr>
              <w:t>Páginas de la 26 a la 39.</w:t>
            </w:r>
          </w:p>
        </w:tc>
        <w:tc>
          <w:tcPr>
            <w:tcW w:w="2877" w:type="dxa"/>
            <w:vAlign w:val="center"/>
          </w:tcPr>
          <w:p w14:paraId="0F88FC55" w14:textId="2E47D261" w:rsidR="00BF369D" w:rsidRPr="00BF369D" w:rsidRDefault="00BF369D" w:rsidP="00BF369D">
            <w:pPr>
              <w:rPr>
                <w:rFonts w:ascii="Century Gothic" w:hAnsi="Century Gothic"/>
                <w:sz w:val="24"/>
                <w:szCs w:val="24"/>
              </w:rPr>
            </w:pPr>
            <w:r w:rsidRPr="00BF369D">
              <w:rPr>
                <w:rFonts w:ascii="Century Gothic" w:hAnsi="Century Gothic" w:cs="Tahoma"/>
                <w:kern w:val="0"/>
                <w:sz w:val="24"/>
                <w:szCs w:val="24"/>
              </w:rPr>
              <w:t>Aunque diferentes, somos iguales.</w:t>
            </w:r>
          </w:p>
        </w:tc>
        <w:tc>
          <w:tcPr>
            <w:tcW w:w="3759" w:type="dxa"/>
          </w:tcPr>
          <w:p w14:paraId="1544F34B" w14:textId="691624B9" w:rsidR="00BF369D" w:rsidRPr="00BF369D" w:rsidRDefault="00BF369D" w:rsidP="00BF369D">
            <w:pPr>
              <w:rPr>
                <w:rFonts w:ascii="Century Gothic" w:hAnsi="Century Gothic"/>
                <w:sz w:val="24"/>
                <w:szCs w:val="24"/>
              </w:rPr>
            </w:pPr>
            <w:r w:rsidRPr="00BF369D">
              <w:rPr>
                <w:rFonts w:ascii="Century Gothic" w:hAnsi="Century Gothic" w:cs="Arial"/>
                <w:sz w:val="24"/>
                <w:szCs w:val="24"/>
              </w:rPr>
              <w:t>Participar en un torneo deportivo por la diversidad en donde apreciarán que niñas y niños pueden practicar un deporte por igual. Asimismo, elaborar una invitación y un reconocimiento para entregar a los participantes.</w:t>
            </w:r>
          </w:p>
        </w:tc>
      </w:tr>
      <w:tr w:rsidR="00BF369D" w:rsidRPr="00BF369D" w14:paraId="28903A2D" w14:textId="77777777" w:rsidTr="00BF369D">
        <w:tc>
          <w:tcPr>
            <w:tcW w:w="3038" w:type="dxa"/>
            <w:vAlign w:val="center"/>
          </w:tcPr>
          <w:p w14:paraId="66EAD28D" w14:textId="219DDB1A" w:rsidR="00BF369D" w:rsidRPr="00BF369D" w:rsidRDefault="00BF369D" w:rsidP="00BF369D">
            <w:pPr>
              <w:rPr>
                <w:rFonts w:ascii="Century Gothic" w:hAnsi="Century Gothic"/>
                <w:sz w:val="24"/>
                <w:szCs w:val="24"/>
              </w:rPr>
            </w:pPr>
            <w:r w:rsidRPr="00BF369D">
              <w:rPr>
                <w:rFonts w:ascii="Century Gothic" w:hAnsi="Century Gothic"/>
                <w:sz w:val="24"/>
                <w:szCs w:val="24"/>
              </w:rPr>
              <w:t>Ética, naturaleza y sociedades</w:t>
            </w:r>
          </w:p>
        </w:tc>
        <w:tc>
          <w:tcPr>
            <w:tcW w:w="2993" w:type="dxa"/>
            <w:vAlign w:val="center"/>
          </w:tcPr>
          <w:p w14:paraId="3C58A7E5" w14:textId="77777777" w:rsidR="00BF369D" w:rsidRPr="00BF369D" w:rsidRDefault="00BF369D" w:rsidP="00BF369D">
            <w:pPr>
              <w:spacing w:after="160" w:line="259" w:lineRule="auto"/>
              <w:rPr>
                <w:rFonts w:ascii="Century Gothic" w:eastAsia="Calibri" w:hAnsi="Century Gothic" w:cs="Times New Roman"/>
                <w:sz w:val="24"/>
                <w:szCs w:val="24"/>
              </w:rPr>
            </w:pPr>
            <w:r w:rsidRPr="00BF369D">
              <w:rPr>
                <w:rFonts w:ascii="Century Gothic" w:eastAsia="Calibri" w:hAnsi="Century Gothic" w:cs="Times New Roman"/>
                <w:sz w:val="24"/>
                <w:szCs w:val="24"/>
              </w:rPr>
              <w:t>Inclusión</w:t>
            </w:r>
          </w:p>
          <w:p w14:paraId="302DCACB" w14:textId="77777777" w:rsidR="00BF369D" w:rsidRPr="00BF369D" w:rsidRDefault="00BF369D" w:rsidP="00BF369D">
            <w:pPr>
              <w:spacing w:after="160" w:line="259" w:lineRule="auto"/>
              <w:rPr>
                <w:rFonts w:ascii="Century Gothic" w:eastAsia="Calibri" w:hAnsi="Century Gothic" w:cs="Times New Roman"/>
                <w:sz w:val="24"/>
                <w:szCs w:val="24"/>
              </w:rPr>
            </w:pPr>
            <w:r w:rsidRPr="00BF369D">
              <w:rPr>
                <w:rFonts w:ascii="Century Gothic" w:eastAsia="Calibri" w:hAnsi="Century Gothic" w:cs="Times New Roman"/>
                <w:sz w:val="24"/>
                <w:szCs w:val="24"/>
              </w:rPr>
              <w:t>Pensamiento crítico</w:t>
            </w:r>
          </w:p>
          <w:p w14:paraId="67C995FA" w14:textId="77777777" w:rsidR="00BF369D" w:rsidRPr="00BF369D" w:rsidRDefault="00BF369D" w:rsidP="00BF369D">
            <w:pPr>
              <w:spacing w:after="160" w:line="259" w:lineRule="auto"/>
              <w:rPr>
                <w:rFonts w:ascii="Century Gothic" w:eastAsia="Calibri" w:hAnsi="Century Gothic" w:cs="Times New Roman"/>
                <w:sz w:val="24"/>
                <w:szCs w:val="24"/>
              </w:rPr>
            </w:pPr>
            <w:r w:rsidRPr="00BF369D">
              <w:rPr>
                <w:rFonts w:ascii="Century Gothic" w:eastAsia="Calibri" w:hAnsi="Century Gothic" w:cs="Times New Roman"/>
                <w:sz w:val="24"/>
                <w:szCs w:val="24"/>
              </w:rPr>
              <w:t>Igualdad de género</w:t>
            </w:r>
          </w:p>
          <w:p w14:paraId="599C58D7" w14:textId="4386A27A" w:rsidR="00BF369D" w:rsidRPr="00BF369D" w:rsidRDefault="00BF369D" w:rsidP="00BF369D">
            <w:pPr>
              <w:rPr>
                <w:rFonts w:ascii="Century Gothic" w:hAnsi="Century Gothic"/>
                <w:sz w:val="24"/>
                <w:szCs w:val="24"/>
              </w:rPr>
            </w:pPr>
          </w:p>
        </w:tc>
        <w:tc>
          <w:tcPr>
            <w:tcW w:w="1723" w:type="dxa"/>
          </w:tcPr>
          <w:p w14:paraId="118BC372" w14:textId="77777777" w:rsidR="00BF369D" w:rsidRPr="00BF369D" w:rsidRDefault="00BF369D" w:rsidP="00BF369D">
            <w:pPr>
              <w:jc w:val="center"/>
              <w:rPr>
                <w:rFonts w:ascii="Century Gothic" w:hAnsi="Century Gothic" w:cs="Tahoma"/>
                <w:sz w:val="24"/>
                <w:szCs w:val="24"/>
              </w:rPr>
            </w:pPr>
            <w:r w:rsidRPr="00BF369D">
              <w:rPr>
                <w:rFonts w:ascii="Century Gothic" w:hAnsi="Century Gothic" w:cs="Tahoma"/>
                <w:sz w:val="24"/>
                <w:szCs w:val="24"/>
              </w:rPr>
              <w:t>Comunitario.</w:t>
            </w:r>
          </w:p>
          <w:p w14:paraId="5E092657" w14:textId="39D5B804" w:rsidR="00BF369D" w:rsidRPr="00BF369D" w:rsidRDefault="00BF369D" w:rsidP="00BF369D">
            <w:pPr>
              <w:rPr>
                <w:rFonts w:ascii="Century Gothic" w:hAnsi="Century Gothic"/>
                <w:sz w:val="24"/>
                <w:szCs w:val="24"/>
              </w:rPr>
            </w:pPr>
            <w:r w:rsidRPr="00BF369D">
              <w:rPr>
                <w:rFonts w:ascii="Century Gothic" w:hAnsi="Century Gothic" w:cs="Tahoma"/>
                <w:sz w:val="24"/>
                <w:szCs w:val="24"/>
              </w:rPr>
              <w:t>Páginas de la 140 a la 145.</w:t>
            </w:r>
          </w:p>
        </w:tc>
        <w:tc>
          <w:tcPr>
            <w:tcW w:w="2877" w:type="dxa"/>
            <w:vAlign w:val="center"/>
          </w:tcPr>
          <w:p w14:paraId="2010C993" w14:textId="42DB4593" w:rsidR="00BF369D" w:rsidRPr="00BF369D" w:rsidRDefault="00BF369D" w:rsidP="00BF369D">
            <w:pPr>
              <w:rPr>
                <w:rFonts w:ascii="Century Gothic" w:hAnsi="Century Gothic"/>
                <w:sz w:val="24"/>
                <w:szCs w:val="24"/>
              </w:rPr>
            </w:pPr>
            <w:r w:rsidRPr="00BF369D">
              <w:rPr>
                <w:rFonts w:ascii="Century Gothic" w:hAnsi="Century Gothic" w:cs="Tahoma"/>
                <w:kern w:val="0"/>
                <w:sz w:val="24"/>
                <w:szCs w:val="24"/>
              </w:rPr>
              <w:t>¡Desfile por la igualdad!</w:t>
            </w:r>
          </w:p>
        </w:tc>
        <w:tc>
          <w:tcPr>
            <w:tcW w:w="3759" w:type="dxa"/>
          </w:tcPr>
          <w:p w14:paraId="3F11CA71" w14:textId="69479BAE" w:rsidR="00BF369D" w:rsidRPr="00BF369D" w:rsidRDefault="00BF369D" w:rsidP="00BF369D">
            <w:pPr>
              <w:rPr>
                <w:rFonts w:ascii="Century Gothic" w:hAnsi="Century Gothic"/>
                <w:sz w:val="24"/>
                <w:szCs w:val="24"/>
              </w:rPr>
            </w:pPr>
            <w:r w:rsidRPr="00BF369D">
              <w:rPr>
                <w:rFonts w:ascii="Century Gothic" w:hAnsi="Century Gothic" w:cs="Arial"/>
                <w:sz w:val="24"/>
                <w:szCs w:val="24"/>
              </w:rPr>
              <w:t>Participar en un desfile por la igualdad de género donde compartirán con la comunidad diversas ideas para comprender por qué todas las personas, sin importar su sexo, tienen los mismos derechos.</w:t>
            </w:r>
          </w:p>
        </w:tc>
      </w:tr>
    </w:tbl>
    <w:p w14:paraId="099E919D" w14:textId="77777777" w:rsidR="002F59BC" w:rsidRPr="00BF369D" w:rsidRDefault="002F59BC">
      <w:pPr>
        <w:rPr>
          <w:rFonts w:ascii="Century Gothic" w:hAnsi="Century Gothic"/>
        </w:rPr>
      </w:pPr>
    </w:p>
    <w:sectPr w:rsidR="002F59BC" w:rsidRPr="00BF369D" w:rsidSect="004A2083">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76DD4" w14:textId="77777777" w:rsidR="004A2083" w:rsidRDefault="004A2083" w:rsidP="000458B3">
      <w:pPr>
        <w:spacing w:after="0" w:line="240" w:lineRule="auto"/>
      </w:pPr>
      <w:r>
        <w:separator/>
      </w:r>
    </w:p>
  </w:endnote>
  <w:endnote w:type="continuationSeparator" w:id="0">
    <w:p w14:paraId="0E1EFDDA" w14:textId="77777777" w:rsidR="004A2083" w:rsidRDefault="004A2083" w:rsidP="0004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5E3D8" w14:textId="77777777" w:rsidR="004A2083" w:rsidRDefault="004A2083" w:rsidP="000458B3">
      <w:pPr>
        <w:spacing w:after="0" w:line="240" w:lineRule="auto"/>
      </w:pPr>
      <w:r>
        <w:separator/>
      </w:r>
    </w:p>
  </w:footnote>
  <w:footnote w:type="continuationSeparator" w:id="0">
    <w:p w14:paraId="18E8A763" w14:textId="77777777" w:rsidR="004A2083" w:rsidRDefault="004A2083" w:rsidP="00045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3EB8" w14:textId="4F8E52F7" w:rsidR="000458B3" w:rsidRPr="000458B3" w:rsidRDefault="000458B3" w:rsidP="000458B3">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7EA3C87B" wp14:editId="6C4F0068">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27B4F"/>
    <w:rsid w:val="000458B3"/>
    <w:rsid w:val="00063275"/>
    <w:rsid w:val="002C5BA5"/>
    <w:rsid w:val="002F59BC"/>
    <w:rsid w:val="004104AA"/>
    <w:rsid w:val="004A2083"/>
    <w:rsid w:val="007E4961"/>
    <w:rsid w:val="009A5BC5"/>
    <w:rsid w:val="00AD1658"/>
    <w:rsid w:val="00B474F4"/>
    <w:rsid w:val="00B51E4C"/>
    <w:rsid w:val="00BF369D"/>
    <w:rsid w:val="00E57218"/>
    <w:rsid w:val="00FC0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58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58B3"/>
  </w:style>
  <w:style w:type="paragraph" w:styleId="Piedepgina">
    <w:name w:val="footer"/>
    <w:basedOn w:val="Normal"/>
    <w:link w:val="PiedepginaCar"/>
    <w:uiPriority w:val="99"/>
    <w:unhideWhenUsed/>
    <w:rsid w:val="000458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270</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3</cp:revision>
  <dcterms:created xsi:type="dcterms:W3CDTF">2023-08-21T19:57:00Z</dcterms:created>
  <dcterms:modified xsi:type="dcterms:W3CDTF">2024-04-06T08:47:00Z</dcterms:modified>
  <cp:category>www.DidacticosMX.com</cp:category>
</cp:coreProperties>
</file>