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94C9" w14:textId="01819B69" w:rsidR="00BC6E10" w:rsidRDefault="00BC6E10" w:rsidP="00BC6E10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9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676EB537" w14:textId="440EA94C" w:rsidR="00BC6E10" w:rsidRDefault="00BC6E10" w:rsidP="00BC6E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D2AE2CA" w14:textId="77777777" w:rsidR="00BC6E10" w:rsidRDefault="00BC6E10" w:rsidP="00BC6E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114B10C4" w14:textId="77777777" w:rsidR="00BC6E10" w:rsidRDefault="00BC6E10" w:rsidP="00BC6E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07CED738" w14:textId="231DA9FA" w:rsidR="00BC6E10" w:rsidRDefault="00BC6E10" w:rsidP="00BC6E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14CCF2EB" w14:textId="77777777" w:rsidR="00BC6E10" w:rsidRDefault="00BC6E10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4DE99383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35"/>
        <w:gridCol w:w="2995"/>
        <w:gridCol w:w="1723"/>
        <w:gridCol w:w="2873"/>
        <w:gridCol w:w="3764"/>
      </w:tblGrid>
      <w:tr w:rsidR="00AD1658" w:rsidRPr="00156A8C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156A8C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56A8C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156A8C" w14:paraId="0ED89697" w14:textId="77777777" w:rsidTr="00156A8C">
        <w:tc>
          <w:tcPr>
            <w:tcW w:w="3080" w:type="dxa"/>
            <w:shd w:val="clear" w:color="auto" w:fill="FFE7FF"/>
            <w:vAlign w:val="center"/>
          </w:tcPr>
          <w:p w14:paraId="2010CF81" w14:textId="0E05CB10" w:rsidR="00AD1658" w:rsidRPr="00156A8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56A8C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6" w:type="dxa"/>
            <w:shd w:val="clear" w:color="auto" w:fill="FFE7FF"/>
            <w:vAlign w:val="center"/>
          </w:tcPr>
          <w:p w14:paraId="3FF55929" w14:textId="2775533F" w:rsidR="00AD1658" w:rsidRPr="00156A8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56A8C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156A8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56A8C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FFE7FF"/>
            <w:vAlign w:val="center"/>
          </w:tcPr>
          <w:p w14:paraId="0490FFAC" w14:textId="4AF7C1E6" w:rsidR="00AD1658" w:rsidRPr="00156A8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56A8C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8" w:type="dxa"/>
            <w:shd w:val="clear" w:color="auto" w:fill="FFE7FF"/>
            <w:vAlign w:val="center"/>
          </w:tcPr>
          <w:p w14:paraId="49AD0D00" w14:textId="0DD44579" w:rsidR="00AD1658" w:rsidRPr="00156A8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56A8C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56A8C" w:rsidRPr="00156A8C" w14:paraId="3E0896F7" w14:textId="77777777" w:rsidTr="00156A8C">
        <w:tc>
          <w:tcPr>
            <w:tcW w:w="3080" w:type="dxa"/>
            <w:vAlign w:val="center"/>
          </w:tcPr>
          <w:p w14:paraId="2615CD50" w14:textId="29010C78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26" w:type="dxa"/>
            <w:vAlign w:val="center"/>
          </w:tcPr>
          <w:p w14:paraId="6EEF2D72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>Inclusión</w:t>
            </w:r>
          </w:p>
          <w:p w14:paraId="5FA8E04D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 xml:space="preserve">Interculturalidad critica </w:t>
            </w:r>
          </w:p>
          <w:p w14:paraId="19BAB38D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>Igualdad de género</w:t>
            </w:r>
          </w:p>
          <w:p w14:paraId="2D724138" w14:textId="5543CE9E" w:rsidR="00156A8C" w:rsidRPr="00156A8C" w:rsidRDefault="00156A8C" w:rsidP="00156A8C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614A3E43" w14:textId="77777777" w:rsidR="00156A8C" w:rsidRPr="00156A8C" w:rsidRDefault="00156A8C" w:rsidP="00156A8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56A8C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78438BE5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 w:cs="Tahoma"/>
                <w:sz w:val="24"/>
                <w:szCs w:val="24"/>
              </w:rPr>
              <w:t>Páginas de la 246 a la 259.</w:t>
            </w:r>
          </w:p>
        </w:tc>
        <w:tc>
          <w:tcPr>
            <w:tcW w:w="2910" w:type="dxa"/>
            <w:vAlign w:val="center"/>
          </w:tcPr>
          <w:p w14:paraId="1C02C1AD" w14:textId="3E488820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 w:cs="Tahoma"/>
                <w:kern w:val="0"/>
                <w:sz w:val="24"/>
                <w:szCs w:val="24"/>
              </w:rPr>
              <w:t>Todos construimos la paz.</w:t>
            </w:r>
          </w:p>
        </w:tc>
        <w:tc>
          <w:tcPr>
            <w:tcW w:w="3808" w:type="dxa"/>
            <w:vAlign w:val="center"/>
          </w:tcPr>
          <w:p w14:paraId="30CCDB5F" w14:textId="7E3F03C9" w:rsidR="00156A8C" w:rsidRPr="00156A8C" w:rsidRDefault="00156A8C" w:rsidP="00156A8C">
            <w:pPr>
              <w:rPr>
                <w:rFonts w:ascii="Century Gothic" w:hAnsi="Century Gothic"/>
              </w:rPr>
            </w:pPr>
            <w:proofErr w:type="gramStart"/>
            <w:r w:rsidRPr="00156A8C">
              <w:rPr>
                <w:rFonts w:ascii="Century Gothic" w:hAnsi="Century Gothic" w:cs="Tahoma"/>
                <w:sz w:val="24"/>
                <w:szCs w:val="24"/>
              </w:rPr>
              <w:t>Reconocer</w:t>
            </w:r>
            <w:proofErr w:type="gramEnd"/>
            <w:r w:rsidRPr="00156A8C">
              <w:rPr>
                <w:rFonts w:ascii="Century Gothic" w:hAnsi="Century Gothic" w:cs="Tahoma"/>
                <w:sz w:val="24"/>
                <w:szCs w:val="24"/>
              </w:rPr>
              <w:t xml:space="preserve"> que existen comportamientos y situaciones que generan conflictos entre las personas por lo cual organizarán una jornada por la paz para proponer acciones que fomenten ambientes sanos y de colaboración en su comunidad.</w:t>
            </w:r>
          </w:p>
        </w:tc>
      </w:tr>
      <w:tr w:rsidR="00156A8C" w:rsidRPr="00156A8C" w14:paraId="11363062" w14:textId="77777777" w:rsidTr="00156A8C">
        <w:tc>
          <w:tcPr>
            <w:tcW w:w="3080" w:type="dxa"/>
            <w:vAlign w:val="center"/>
          </w:tcPr>
          <w:p w14:paraId="6A945832" w14:textId="39EF6862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6" w:type="dxa"/>
            <w:vAlign w:val="center"/>
          </w:tcPr>
          <w:p w14:paraId="705487A2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>Pensamiento crítico</w:t>
            </w:r>
          </w:p>
          <w:p w14:paraId="28912644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>Igualdad de género</w:t>
            </w:r>
          </w:p>
          <w:p w14:paraId="1C7396A6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>Vida saludable</w:t>
            </w:r>
          </w:p>
          <w:p w14:paraId="49CED044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6642CAE9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156A8C" w:rsidRPr="00156A8C" w:rsidRDefault="00156A8C" w:rsidP="00156A8C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528139BE" w14:textId="77777777" w:rsidR="00156A8C" w:rsidRPr="00156A8C" w:rsidRDefault="00156A8C" w:rsidP="00156A8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56A8C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42911473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 w:cs="Tahoma"/>
                <w:sz w:val="24"/>
                <w:szCs w:val="24"/>
              </w:rPr>
              <w:t>Páginas de la 146 a la 155.</w:t>
            </w:r>
          </w:p>
        </w:tc>
        <w:tc>
          <w:tcPr>
            <w:tcW w:w="2910" w:type="dxa"/>
            <w:vAlign w:val="center"/>
          </w:tcPr>
          <w:p w14:paraId="0F88FC55" w14:textId="2FF46A24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 w:cs="Tahoma"/>
                <w:kern w:val="0"/>
                <w:sz w:val="24"/>
                <w:szCs w:val="24"/>
              </w:rPr>
              <w:t>Pintemos y hagamos un mundo sin violencia.</w:t>
            </w:r>
          </w:p>
        </w:tc>
        <w:tc>
          <w:tcPr>
            <w:tcW w:w="3808" w:type="dxa"/>
            <w:vAlign w:val="center"/>
          </w:tcPr>
          <w:p w14:paraId="1544F34B" w14:textId="399A600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 w:cs="Arial"/>
                <w:sz w:val="24"/>
                <w:szCs w:val="24"/>
              </w:rPr>
              <w:t>Pintar el mural “Un mundo sin violencia”, con el cual reconocerán cómo el arte puede ser una herramienta para imaginar un ambiente libre de violencia.</w:t>
            </w:r>
          </w:p>
        </w:tc>
      </w:tr>
      <w:tr w:rsidR="00156A8C" w:rsidRPr="00156A8C" w14:paraId="28903A2D" w14:textId="77777777" w:rsidTr="00156A8C">
        <w:tc>
          <w:tcPr>
            <w:tcW w:w="3080" w:type="dxa"/>
            <w:vAlign w:val="center"/>
          </w:tcPr>
          <w:p w14:paraId="66EAD28D" w14:textId="4AD358F4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6" w:type="dxa"/>
            <w:vAlign w:val="center"/>
          </w:tcPr>
          <w:p w14:paraId="55EB87A0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>Pensamiento crítico</w:t>
            </w:r>
          </w:p>
          <w:p w14:paraId="73CC29B3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 xml:space="preserve">Interculturalidad critica </w:t>
            </w:r>
          </w:p>
          <w:p w14:paraId="4358F446" w14:textId="77777777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156A8C" w:rsidRPr="00156A8C" w:rsidRDefault="00156A8C" w:rsidP="00156A8C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6262D1D8" w14:textId="77777777" w:rsidR="00156A8C" w:rsidRPr="00156A8C" w:rsidRDefault="00156A8C" w:rsidP="00156A8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56A8C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04193AE4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 w:cs="Tahoma"/>
                <w:sz w:val="24"/>
                <w:szCs w:val="24"/>
              </w:rPr>
              <w:t>Páginas de la 186 a la 193.</w:t>
            </w:r>
          </w:p>
        </w:tc>
        <w:tc>
          <w:tcPr>
            <w:tcW w:w="2910" w:type="dxa"/>
            <w:vAlign w:val="center"/>
          </w:tcPr>
          <w:p w14:paraId="2010C993" w14:textId="667BA1A0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 w:cs="Tahoma"/>
                <w:kern w:val="0"/>
                <w:sz w:val="24"/>
                <w:szCs w:val="24"/>
              </w:rPr>
              <w:t>Los saberes de mi comunidad.</w:t>
            </w:r>
          </w:p>
        </w:tc>
        <w:tc>
          <w:tcPr>
            <w:tcW w:w="3808" w:type="dxa"/>
            <w:vAlign w:val="center"/>
          </w:tcPr>
          <w:p w14:paraId="3F11CA71" w14:textId="0E464B6A" w:rsidR="00156A8C" w:rsidRPr="00156A8C" w:rsidRDefault="00156A8C" w:rsidP="00156A8C">
            <w:pPr>
              <w:rPr>
                <w:rFonts w:ascii="Century Gothic" w:hAnsi="Century Gothic"/>
              </w:rPr>
            </w:pPr>
            <w:r w:rsidRPr="00156A8C">
              <w:rPr>
                <w:rFonts w:ascii="Century Gothic" w:hAnsi="Century Gothic" w:cs="Tahoma"/>
                <w:sz w:val="24"/>
                <w:szCs w:val="24"/>
              </w:rPr>
              <w:t>Conocer algunos de los saberes, las prácticas, las tradiciones y las costumbres que caracterizan a su comunidad. Participar en una “Feria de los saberes”.</w:t>
            </w:r>
          </w:p>
        </w:tc>
      </w:tr>
    </w:tbl>
    <w:p w14:paraId="099E919D" w14:textId="77777777" w:rsidR="002F59BC" w:rsidRDefault="002F59BC"/>
    <w:sectPr w:rsidR="002F59BC" w:rsidSect="005D7634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B228" w14:textId="77777777" w:rsidR="005D7634" w:rsidRDefault="005D7634" w:rsidP="000458B3">
      <w:pPr>
        <w:spacing w:after="0" w:line="240" w:lineRule="auto"/>
      </w:pPr>
      <w:r>
        <w:separator/>
      </w:r>
    </w:p>
  </w:endnote>
  <w:endnote w:type="continuationSeparator" w:id="0">
    <w:p w14:paraId="69364121" w14:textId="77777777" w:rsidR="005D7634" w:rsidRDefault="005D7634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3687" w14:textId="77777777" w:rsidR="005D7634" w:rsidRDefault="005D7634" w:rsidP="000458B3">
      <w:pPr>
        <w:spacing w:after="0" w:line="240" w:lineRule="auto"/>
      </w:pPr>
      <w:r>
        <w:separator/>
      </w:r>
    </w:p>
  </w:footnote>
  <w:footnote w:type="continuationSeparator" w:id="0">
    <w:p w14:paraId="33C491A5" w14:textId="77777777" w:rsidR="005D7634" w:rsidRDefault="005D7634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156A8C"/>
    <w:rsid w:val="002C5BA5"/>
    <w:rsid w:val="002F59BC"/>
    <w:rsid w:val="004104AA"/>
    <w:rsid w:val="005D7634"/>
    <w:rsid w:val="009A5BC5"/>
    <w:rsid w:val="00AD1658"/>
    <w:rsid w:val="00B474F4"/>
    <w:rsid w:val="00B51E4C"/>
    <w:rsid w:val="00BC6E10"/>
    <w:rsid w:val="00DB0DB2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2024-04-06T08:44:00Z</dcterms:modified>
  <cp:category>www.DidacticosMx.com</cp:category>
</cp:coreProperties>
</file>