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0B155" w14:textId="238C0491" w:rsidR="00AD77CC" w:rsidRDefault="00AD77CC" w:rsidP="00AD77CC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7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3A0FFADF" w14:textId="72723C9B" w:rsidR="00AD77CC" w:rsidRDefault="00AD77CC" w:rsidP="00AD77CC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7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1218138F" w14:textId="77777777" w:rsidR="00AD77CC" w:rsidRDefault="00AD77CC" w:rsidP="00AD77CC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40B3008F" w14:textId="77777777" w:rsidR="00AD77CC" w:rsidRDefault="00AD77CC" w:rsidP="00AD77CC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2E293CDA" w14:textId="3F09B504" w:rsidR="00AD77CC" w:rsidRDefault="00AD77CC" w:rsidP="00AD77CC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7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48B69945" w14:textId="77777777" w:rsidR="00AD77CC" w:rsidRDefault="00AD77CC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60F8ED5B" w:rsidR="00AD1658" w:rsidRDefault="000458B3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2d</w:t>
      </w:r>
      <w:r w:rsidRPr="00D46909">
        <w:rPr>
          <w:rFonts w:ascii="Century Gothic" w:hAnsi="Century Gothic"/>
          <w:b/>
          <w:bCs/>
          <w:sz w:val="32"/>
          <w:szCs w:val="32"/>
        </w:rPr>
        <w:t>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F7DE1AD" w14:textId="15025FDB" w:rsidR="00E57218" w:rsidRPr="000458B3" w:rsidRDefault="00E57218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040"/>
        <w:gridCol w:w="3001"/>
        <w:gridCol w:w="1723"/>
        <w:gridCol w:w="1729"/>
        <w:gridCol w:w="4897"/>
      </w:tblGrid>
      <w:tr w:rsidR="00AD1658" w:rsidRPr="006174BF" w14:paraId="51312299" w14:textId="77777777" w:rsidTr="002C5BA5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04C2CF56" w:rsidR="00AD1658" w:rsidRPr="006174BF" w:rsidRDefault="00E5721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174BF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6174BF" w14:paraId="0ED89697" w14:textId="77777777" w:rsidTr="006174BF">
        <w:tc>
          <w:tcPr>
            <w:tcW w:w="3040" w:type="dxa"/>
            <w:shd w:val="clear" w:color="auto" w:fill="FFE7FF"/>
            <w:vAlign w:val="center"/>
          </w:tcPr>
          <w:p w14:paraId="2010CF81" w14:textId="0E05CB10" w:rsidR="00AD1658" w:rsidRPr="006174BF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174BF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01" w:type="dxa"/>
            <w:shd w:val="clear" w:color="auto" w:fill="FFE7FF"/>
            <w:vAlign w:val="center"/>
          </w:tcPr>
          <w:p w14:paraId="3FF55929" w14:textId="2775533F" w:rsidR="00AD1658" w:rsidRPr="006174BF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174BF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FFE7FF"/>
            <w:vAlign w:val="center"/>
          </w:tcPr>
          <w:p w14:paraId="426A56CE" w14:textId="6F50816E" w:rsidR="00AD1658" w:rsidRPr="006174BF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174BF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1729" w:type="dxa"/>
            <w:shd w:val="clear" w:color="auto" w:fill="FFE7FF"/>
            <w:vAlign w:val="center"/>
          </w:tcPr>
          <w:p w14:paraId="0490FFAC" w14:textId="4AF7C1E6" w:rsidR="00AD1658" w:rsidRPr="006174BF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174BF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4897" w:type="dxa"/>
            <w:shd w:val="clear" w:color="auto" w:fill="FFE7FF"/>
            <w:vAlign w:val="center"/>
          </w:tcPr>
          <w:p w14:paraId="49AD0D00" w14:textId="0DD44579" w:rsidR="00AD1658" w:rsidRPr="006174BF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174BF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6174BF" w:rsidRPr="006174BF" w14:paraId="3E0896F7" w14:textId="77777777" w:rsidTr="006174BF">
        <w:tc>
          <w:tcPr>
            <w:tcW w:w="3040" w:type="dxa"/>
            <w:vAlign w:val="center"/>
          </w:tcPr>
          <w:p w14:paraId="2615CD50" w14:textId="65166B1D" w:rsidR="006174BF" w:rsidRPr="006174BF" w:rsidRDefault="006174BF" w:rsidP="006174BF">
            <w:pPr>
              <w:rPr>
                <w:rFonts w:ascii="Century Gothic" w:hAnsi="Century Gothic"/>
              </w:rPr>
            </w:pPr>
            <w:r w:rsidRPr="006174BF">
              <w:rPr>
                <w:rFonts w:ascii="Century Gothic" w:hAnsi="Century Gothic"/>
                <w:kern w:val="0"/>
                <w14:ligatures w14:val="none"/>
              </w:rPr>
              <w:t>Lenguajes</w:t>
            </w:r>
          </w:p>
        </w:tc>
        <w:tc>
          <w:tcPr>
            <w:tcW w:w="3001" w:type="dxa"/>
            <w:vAlign w:val="center"/>
          </w:tcPr>
          <w:p w14:paraId="6657CB39" w14:textId="77777777" w:rsidR="006174BF" w:rsidRPr="006174BF" w:rsidRDefault="006174BF" w:rsidP="006174BF">
            <w:pPr>
              <w:rPr>
                <w:rFonts w:ascii="Century Gothic" w:hAnsi="Century Gothic"/>
              </w:rPr>
            </w:pPr>
            <w:r w:rsidRPr="006174BF">
              <w:rPr>
                <w:rFonts w:ascii="Century Gothic" w:hAnsi="Century Gothic"/>
              </w:rPr>
              <w:t>Inclusión</w:t>
            </w:r>
          </w:p>
          <w:p w14:paraId="0FC76A52" w14:textId="77777777" w:rsidR="006174BF" w:rsidRPr="006174BF" w:rsidRDefault="006174BF" w:rsidP="006174BF">
            <w:pPr>
              <w:rPr>
                <w:rFonts w:ascii="Century Gothic" w:hAnsi="Century Gothic"/>
              </w:rPr>
            </w:pPr>
            <w:r w:rsidRPr="006174BF">
              <w:rPr>
                <w:rFonts w:ascii="Century Gothic" w:hAnsi="Century Gothic"/>
              </w:rPr>
              <w:t>Pensamiento crítico</w:t>
            </w:r>
          </w:p>
          <w:p w14:paraId="3A07D0BF" w14:textId="77777777" w:rsidR="006174BF" w:rsidRPr="006174BF" w:rsidRDefault="006174BF" w:rsidP="006174BF">
            <w:pPr>
              <w:rPr>
                <w:rFonts w:ascii="Century Gothic" w:hAnsi="Century Gothic"/>
              </w:rPr>
            </w:pPr>
            <w:r w:rsidRPr="006174BF">
              <w:rPr>
                <w:rFonts w:ascii="Century Gothic" w:hAnsi="Century Gothic"/>
              </w:rPr>
              <w:t xml:space="preserve">Interculturalidad critica </w:t>
            </w:r>
          </w:p>
          <w:p w14:paraId="1B261ED2" w14:textId="77777777" w:rsidR="006174BF" w:rsidRPr="006174BF" w:rsidRDefault="006174BF" w:rsidP="006174BF">
            <w:pPr>
              <w:rPr>
                <w:rFonts w:ascii="Century Gothic" w:hAnsi="Century Gothic"/>
              </w:rPr>
            </w:pPr>
            <w:r w:rsidRPr="006174BF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2D724138" w14:textId="5543CE9E" w:rsidR="006174BF" w:rsidRPr="006174BF" w:rsidRDefault="006174BF" w:rsidP="006174BF">
            <w:pPr>
              <w:rPr>
                <w:rFonts w:ascii="Century Gothic" w:hAnsi="Century Gothic"/>
              </w:rPr>
            </w:pPr>
          </w:p>
        </w:tc>
        <w:tc>
          <w:tcPr>
            <w:tcW w:w="1723" w:type="dxa"/>
            <w:vAlign w:val="center"/>
          </w:tcPr>
          <w:p w14:paraId="38041410" w14:textId="77777777" w:rsidR="006174BF" w:rsidRPr="006174BF" w:rsidRDefault="006174BF" w:rsidP="006174B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174BF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133CBBF1" w14:textId="0F827E69" w:rsidR="006174BF" w:rsidRPr="006174BF" w:rsidRDefault="006174BF" w:rsidP="006174BF">
            <w:pPr>
              <w:rPr>
                <w:rFonts w:ascii="Century Gothic" w:hAnsi="Century Gothic"/>
              </w:rPr>
            </w:pPr>
            <w:r w:rsidRPr="006174BF">
              <w:rPr>
                <w:rFonts w:ascii="Century Gothic" w:hAnsi="Century Gothic" w:cs="Tahoma"/>
                <w:sz w:val="24"/>
                <w:szCs w:val="24"/>
              </w:rPr>
              <w:t>Páginas de la 72 a la 89.</w:t>
            </w:r>
          </w:p>
        </w:tc>
        <w:tc>
          <w:tcPr>
            <w:tcW w:w="1729" w:type="dxa"/>
            <w:vAlign w:val="center"/>
          </w:tcPr>
          <w:p w14:paraId="1C02C1AD" w14:textId="5D7A8491" w:rsidR="006174BF" w:rsidRPr="006174BF" w:rsidRDefault="006174BF" w:rsidP="006174BF">
            <w:pPr>
              <w:rPr>
                <w:rFonts w:ascii="Century Gothic" w:hAnsi="Century Gothic"/>
              </w:rPr>
            </w:pPr>
            <w:r w:rsidRPr="006174BF">
              <w:rPr>
                <w:rFonts w:ascii="Century Gothic" w:hAnsi="Century Gothic" w:cs="Tahoma"/>
                <w:kern w:val="0"/>
                <w:sz w:val="24"/>
                <w:szCs w:val="24"/>
              </w:rPr>
              <w:t>La diversidad nos enriquece.</w:t>
            </w:r>
          </w:p>
        </w:tc>
        <w:tc>
          <w:tcPr>
            <w:tcW w:w="4897" w:type="dxa"/>
            <w:vAlign w:val="center"/>
          </w:tcPr>
          <w:p w14:paraId="30CCDB5F" w14:textId="04498A5D" w:rsidR="006174BF" w:rsidRPr="006174BF" w:rsidRDefault="006174BF" w:rsidP="006174BF">
            <w:pPr>
              <w:rPr>
                <w:rFonts w:ascii="Century Gothic" w:hAnsi="Century Gothic"/>
              </w:rPr>
            </w:pPr>
            <w:r w:rsidRPr="006174BF">
              <w:rPr>
                <w:rFonts w:ascii="Century Gothic" w:hAnsi="Century Gothic" w:cs="Arial"/>
                <w:sz w:val="24"/>
                <w:szCs w:val="24"/>
              </w:rPr>
              <w:t>Comprender que el diálogo es la mejor manera de compartir y enriquecer sus opiniones. Para ello, en acuerdo con compañeras, compañeros, familia y personas de su comunidad, realizar actividades de ayuda comunitaria como leer cuentos a adultos mayores, recolectar artículos de despensa para donarlos a una familia, pintar bancas del parque, recolectar basura de algún lugar público, recolectar y donar ropa usada, entre otras.</w:t>
            </w:r>
          </w:p>
        </w:tc>
      </w:tr>
      <w:tr w:rsidR="006174BF" w:rsidRPr="006174BF" w14:paraId="11363062" w14:textId="77777777" w:rsidTr="006174BF">
        <w:tc>
          <w:tcPr>
            <w:tcW w:w="3040" w:type="dxa"/>
            <w:vAlign w:val="center"/>
          </w:tcPr>
          <w:p w14:paraId="6A945832" w14:textId="6BB4460E" w:rsidR="006174BF" w:rsidRPr="006174BF" w:rsidRDefault="006174BF" w:rsidP="006174BF">
            <w:pPr>
              <w:rPr>
                <w:rFonts w:ascii="Century Gothic" w:hAnsi="Century Gothic"/>
              </w:rPr>
            </w:pPr>
            <w:r w:rsidRPr="006174BF">
              <w:rPr>
                <w:rFonts w:ascii="Century Gothic" w:hAnsi="Century Gothic"/>
                <w:kern w:val="0"/>
                <w14:ligatures w14:val="none"/>
              </w:rPr>
              <w:t>Ética, naturaleza y sociedades</w:t>
            </w:r>
          </w:p>
        </w:tc>
        <w:tc>
          <w:tcPr>
            <w:tcW w:w="3001" w:type="dxa"/>
            <w:vAlign w:val="center"/>
          </w:tcPr>
          <w:p w14:paraId="0064B36A" w14:textId="77777777" w:rsidR="006174BF" w:rsidRPr="006174BF" w:rsidRDefault="006174BF" w:rsidP="006174BF">
            <w:pPr>
              <w:rPr>
                <w:rFonts w:ascii="Century Gothic" w:hAnsi="Century Gothic"/>
              </w:rPr>
            </w:pPr>
            <w:r w:rsidRPr="006174BF">
              <w:rPr>
                <w:rFonts w:ascii="Century Gothic" w:hAnsi="Century Gothic"/>
              </w:rPr>
              <w:t>Inclusión</w:t>
            </w:r>
          </w:p>
          <w:p w14:paraId="32438F59" w14:textId="77777777" w:rsidR="006174BF" w:rsidRPr="006174BF" w:rsidRDefault="006174BF" w:rsidP="006174BF">
            <w:pPr>
              <w:rPr>
                <w:rFonts w:ascii="Century Gothic" w:hAnsi="Century Gothic"/>
              </w:rPr>
            </w:pPr>
            <w:r w:rsidRPr="006174BF">
              <w:rPr>
                <w:rFonts w:ascii="Century Gothic" w:hAnsi="Century Gothic"/>
              </w:rPr>
              <w:t>Pensamiento crítico</w:t>
            </w:r>
          </w:p>
          <w:p w14:paraId="64DF18C1" w14:textId="77777777" w:rsidR="006174BF" w:rsidRPr="006174BF" w:rsidRDefault="006174BF" w:rsidP="006174BF">
            <w:pPr>
              <w:rPr>
                <w:rFonts w:ascii="Century Gothic" w:hAnsi="Century Gothic"/>
              </w:rPr>
            </w:pPr>
            <w:r w:rsidRPr="006174BF">
              <w:rPr>
                <w:rFonts w:ascii="Century Gothic" w:hAnsi="Century Gothic"/>
              </w:rPr>
              <w:t xml:space="preserve">Interculturalidad critica </w:t>
            </w:r>
          </w:p>
          <w:p w14:paraId="4BE0D444" w14:textId="77777777" w:rsidR="006174BF" w:rsidRPr="006174BF" w:rsidRDefault="006174BF" w:rsidP="006174BF">
            <w:pPr>
              <w:rPr>
                <w:rFonts w:ascii="Century Gothic" w:hAnsi="Century Gothic"/>
              </w:rPr>
            </w:pPr>
            <w:r w:rsidRPr="006174BF">
              <w:rPr>
                <w:rFonts w:ascii="Century Gothic" w:hAnsi="Century Gothic"/>
              </w:rPr>
              <w:t>Igualdad de género</w:t>
            </w:r>
          </w:p>
          <w:p w14:paraId="6BA5253B" w14:textId="77777777" w:rsidR="006174BF" w:rsidRPr="006174BF" w:rsidRDefault="006174BF" w:rsidP="006174BF">
            <w:pPr>
              <w:rPr>
                <w:rFonts w:ascii="Century Gothic" w:hAnsi="Century Gothic"/>
              </w:rPr>
            </w:pPr>
            <w:r w:rsidRPr="006174BF">
              <w:rPr>
                <w:rFonts w:ascii="Century Gothic" w:hAnsi="Century Gothic"/>
              </w:rPr>
              <w:t>Vida saludable</w:t>
            </w:r>
          </w:p>
          <w:p w14:paraId="58086788" w14:textId="34FA4B3E" w:rsidR="006174BF" w:rsidRPr="006174BF" w:rsidRDefault="006174BF" w:rsidP="006174BF">
            <w:pPr>
              <w:rPr>
                <w:rFonts w:ascii="Century Gothic" w:hAnsi="Century Gothic"/>
              </w:rPr>
            </w:pPr>
          </w:p>
        </w:tc>
        <w:tc>
          <w:tcPr>
            <w:tcW w:w="1723" w:type="dxa"/>
            <w:vAlign w:val="center"/>
          </w:tcPr>
          <w:p w14:paraId="1C383865" w14:textId="77777777" w:rsidR="006174BF" w:rsidRPr="006174BF" w:rsidRDefault="006174BF" w:rsidP="006174B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174BF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33D841A6" w:rsidR="006174BF" w:rsidRPr="006174BF" w:rsidRDefault="006174BF" w:rsidP="006174BF">
            <w:pPr>
              <w:rPr>
                <w:rFonts w:ascii="Century Gothic" w:hAnsi="Century Gothic"/>
              </w:rPr>
            </w:pPr>
            <w:r w:rsidRPr="006174BF">
              <w:rPr>
                <w:rFonts w:ascii="Century Gothic" w:hAnsi="Century Gothic" w:cs="Tahoma"/>
                <w:sz w:val="24"/>
                <w:szCs w:val="24"/>
              </w:rPr>
              <w:t>Páginas de la 194 a la 201.</w:t>
            </w:r>
          </w:p>
        </w:tc>
        <w:tc>
          <w:tcPr>
            <w:tcW w:w="1729" w:type="dxa"/>
            <w:vAlign w:val="center"/>
          </w:tcPr>
          <w:p w14:paraId="0F88FC55" w14:textId="47F77680" w:rsidR="006174BF" w:rsidRPr="006174BF" w:rsidRDefault="006174BF" w:rsidP="006174BF">
            <w:pPr>
              <w:rPr>
                <w:rFonts w:ascii="Century Gothic" w:hAnsi="Century Gothic"/>
              </w:rPr>
            </w:pPr>
            <w:r w:rsidRPr="006174BF">
              <w:rPr>
                <w:rFonts w:ascii="Century Gothic" w:hAnsi="Century Gothic" w:cs="Tahoma"/>
                <w:kern w:val="0"/>
                <w:sz w:val="24"/>
                <w:szCs w:val="24"/>
              </w:rPr>
              <w:t>Jugar futbol sin conflictos.</w:t>
            </w:r>
          </w:p>
        </w:tc>
        <w:tc>
          <w:tcPr>
            <w:tcW w:w="4897" w:type="dxa"/>
            <w:vAlign w:val="center"/>
          </w:tcPr>
          <w:p w14:paraId="1544F34B" w14:textId="144DB202" w:rsidR="006174BF" w:rsidRPr="006174BF" w:rsidRDefault="006174BF" w:rsidP="006174BF">
            <w:pPr>
              <w:rPr>
                <w:rFonts w:ascii="Century Gothic" w:hAnsi="Century Gothic"/>
              </w:rPr>
            </w:pPr>
            <w:r w:rsidRPr="006174BF">
              <w:rPr>
                <w:rFonts w:ascii="Century Gothic" w:hAnsi="Century Gothic" w:cs="Arial"/>
                <w:sz w:val="24"/>
                <w:szCs w:val="24"/>
              </w:rPr>
              <w:t>Reconocer el papel y la importancia del árbitro en los partidos de futbol. También participarán en la organización de un torneo de juego limpio que se llevará a cabo en su comunidad escolar.</w:t>
            </w:r>
          </w:p>
        </w:tc>
      </w:tr>
      <w:tr w:rsidR="006174BF" w:rsidRPr="006174BF" w14:paraId="28903A2D" w14:textId="77777777" w:rsidTr="006174BF">
        <w:tc>
          <w:tcPr>
            <w:tcW w:w="3040" w:type="dxa"/>
            <w:vAlign w:val="center"/>
          </w:tcPr>
          <w:p w14:paraId="66EAD28D" w14:textId="36CC7465" w:rsidR="006174BF" w:rsidRPr="006174BF" w:rsidRDefault="006174BF" w:rsidP="006174BF">
            <w:pPr>
              <w:rPr>
                <w:rFonts w:ascii="Century Gothic" w:hAnsi="Century Gothic"/>
              </w:rPr>
            </w:pPr>
            <w:r w:rsidRPr="006174BF">
              <w:rPr>
                <w:rFonts w:ascii="Century Gothic" w:hAnsi="Century Gothic"/>
                <w:kern w:val="0"/>
                <w14:ligatures w14:val="none"/>
              </w:rPr>
              <w:t>Ética, naturaleza y sociedades</w:t>
            </w:r>
          </w:p>
        </w:tc>
        <w:tc>
          <w:tcPr>
            <w:tcW w:w="3001" w:type="dxa"/>
            <w:vAlign w:val="center"/>
          </w:tcPr>
          <w:p w14:paraId="54135C5F" w14:textId="77777777" w:rsidR="006174BF" w:rsidRPr="006174BF" w:rsidRDefault="006174BF" w:rsidP="006174BF">
            <w:pPr>
              <w:rPr>
                <w:rFonts w:ascii="Century Gothic" w:hAnsi="Century Gothic"/>
              </w:rPr>
            </w:pPr>
            <w:r w:rsidRPr="006174BF">
              <w:rPr>
                <w:rFonts w:ascii="Century Gothic" w:hAnsi="Century Gothic"/>
              </w:rPr>
              <w:t>Inclusión</w:t>
            </w:r>
          </w:p>
          <w:p w14:paraId="05CB873A" w14:textId="77777777" w:rsidR="006174BF" w:rsidRPr="006174BF" w:rsidRDefault="006174BF" w:rsidP="006174BF">
            <w:pPr>
              <w:rPr>
                <w:rFonts w:ascii="Century Gothic" w:hAnsi="Century Gothic"/>
              </w:rPr>
            </w:pPr>
            <w:r w:rsidRPr="006174BF">
              <w:rPr>
                <w:rFonts w:ascii="Century Gothic" w:hAnsi="Century Gothic"/>
              </w:rPr>
              <w:t>Pensamiento crítico</w:t>
            </w:r>
          </w:p>
          <w:p w14:paraId="6C0F5FF5" w14:textId="77777777" w:rsidR="006174BF" w:rsidRPr="006174BF" w:rsidRDefault="006174BF" w:rsidP="006174BF">
            <w:pPr>
              <w:rPr>
                <w:rFonts w:ascii="Century Gothic" w:hAnsi="Century Gothic"/>
              </w:rPr>
            </w:pPr>
            <w:r w:rsidRPr="006174BF">
              <w:rPr>
                <w:rFonts w:ascii="Century Gothic" w:hAnsi="Century Gothic"/>
              </w:rPr>
              <w:t xml:space="preserve">Interculturalidad critica </w:t>
            </w:r>
          </w:p>
          <w:p w14:paraId="24E13A6F" w14:textId="77777777" w:rsidR="006174BF" w:rsidRPr="006174BF" w:rsidRDefault="006174BF" w:rsidP="006174BF">
            <w:pPr>
              <w:rPr>
                <w:rFonts w:ascii="Century Gothic" w:hAnsi="Century Gothic"/>
              </w:rPr>
            </w:pPr>
            <w:r w:rsidRPr="006174BF">
              <w:rPr>
                <w:rFonts w:ascii="Century Gothic" w:hAnsi="Century Gothic"/>
              </w:rPr>
              <w:t>Igualdad de género</w:t>
            </w:r>
          </w:p>
          <w:p w14:paraId="599C58D7" w14:textId="4386A27A" w:rsidR="006174BF" w:rsidRPr="006174BF" w:rsidRDefault="006174BF" w:rsidP="006174BF">
            <w:pPr>
              <w:rPr>
                <w:rFonts w:ascii="Century Gothic" w:hAnsi="Century Gothic"/>
              </w:rPr>
            </w:pPr>
          </w:p>
        </w:tc>
        <w:tc>
          <w:tcPr>
            <w:tcW w:w="1723" w:type="dxa"/>
            <w:vAlign w:val="center"/>
          </w:tcPr>
          <w:p w14:paraId="0A5B57AC" w14:textId="77777777" w:rsidR="006174BF" w:rsidRPr="006174BF" w:rsidRDefault="006174BF" w:rsidP="006174B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174BF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6D3F1735" w:rsidR="006174BF" w:rsidRPr="006174BF" w:rsidRDefault="006174BF" w:rsidP="006174BF">
            <w:pPr>
              <w:rPr>
                <w:rFonts w:ascii="Century Gothic" w:hAnsi="Century Gothic"/>
              </w:rPr>
            </w:pPr>
            <w:r w:rsidRPr="006174BF">
              <w:rPr>
                <w:rFonts w:ascii="Century Gothic" w:hAnsi="Century Gothic" w:cs="Tahoma"/>
                <w:sz w:val="24"/>
                <w:szCs w:val="24"/>
              </w:rPr>
              <w:t>Páginas de la 184 a la 193.</w:t>
            </w:r>
          </w:p>
        </w:tc>
        <w:tc>
          <w:tcPr>
            <w:tcW w:w="1729" w:type="dxa"/>
            <w:vAlign w:val="center"/>
          </w:tcPr>
          <w:p w14:paraId="2010C993" w14:textId="00777DE8" w:rsidR="006174BF" w:rsidRPr="006174BF" w:rsidRDefault="006174BF" w:rsidP="006174BF">
            <w:pPr>
              <w:rPr>
                <w:rFonts w:ascii="Century Gothic" w:hAnsi="Century Gothic"/>
              </w:rPr>
            </w:pPr>
            <w:r w:rsidRPr="006174BF">
              <w:rPr>
                <w:rFonts w:ascii="Century Gothic" w:hAnsi="Century Gothic" w:cs="Tahoma"/>
                <w:kern w:val="0"/>
                <w:sz w:val="24"/>
                <w:szCs w:val="24"/>
              </w:rPr>
              <w:t>Las autoridades de mi comunidad.</w:t>
            </w:r>
          </w:p>
        </w:tc>
        <w:tc>
          <w:tcPr>
            <w:tcW w:w="4897" w:type="dxa"/>
            <w:vAlign w:val="center"/>
          </w:tcPr>
          <w:p w14:paraId="3F11CA71" w14:textId="03B2AE41" w:rsidR="006174BF" w:rsidRPr="006174BF" w:rsidRDefault="006174BF" w:rsidP="006174BF">
            <w:pPr>
              <w:rPr>
                <w:rFonts w:ascii="Century Gothic" w:hAnsi="Century Gothic"/>
              </w:rPr>
            </w:pPr>
            <w:r w:rsidRPr="006174BF">
              <w:rPr>
                <w:rFonts w:ascii="Century Gothic" w:hAnsi="Century Gothic" w:cs="Arial"/>
                <w:sz w:val="24"/>
                <w:szCs w:val="24"/>
              </w:rPr>
              <w:t>Identificar cómo las autoridades contribuyen a la solución de los conflictos que se presentan en la comunidad.</w:t>
            </w:r>
          </w:p>
        </w:tc>
      </w:tr>
    </w:tbl>
    <w:p w14:paraId="099E919D" w14:textId="77777777" w:rsidR="002F59BC" w:rsidRDefault="002F59BC"/>
    <w:sectPr w:rsidR="002F59BC" w:rsidSect="000D7822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03452" w14:textId="77777777" w:rsidR="000D7822" w:rsidRDefault="000D7822" w:rsidP="000458B3">
      <w:pPr>
        <w:spacing w:after="0" w:line="240" w:lineRule="auto"/>
      </w:pPr>
      <w:r>
        <w:separator/>
      </w:r>
    </w:p>
  </w:endnote>
  <w:endnote w:type="continuationSeparator" w:id="0">
    <w:p w14:paraId="022AD115" w14:textId="77777777" w:rsidR="000D7822" w:rsidRDefault="000D7822" w:rsidP="000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C534F" w14:textId="77777777" w:rsidR="000D7822" w:rsidRDefault="000D7822" w:rsidP="000458B3">
      <w:pPr>
        <w:spacing w:after="0" w:line="240" w:lineRule="auto"/>
      </w:pPr>
      <w:r>
        <w:separator/>
      </w:r>
    </w:p>
  </w:footnote>
  <w:footnote w:type="continuationSeparator" w:id="0">
    <w:p w14:paraId="76494BF2" w14:textId="77777777" w:rsidR="000D7822" w:rsidRDefault="000D7822" w:rsidP="0004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3EB8" w14:textId="4F8E52F7" w:rsidR="000458B3" w:rsidRPr="000458B3" w:rsidRDefault="000458B3" w:rsidP="000458B3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EA3C87B" wp14:editId="6C4F0068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458B3"/>
    <w:rsid w:val="00063275"/>
    <w:rsid w:val="000D7822"/>
    <w:rsid w:val="002C5BA5"/>
    <w:rsid w:val="002F59BC"/>
    <w:rsid w:val="004104AA"/>
    <w:rsid w:val="006174BF"/>
    <w:rsid w:val="007E73C9"/>
    <w:rsid w:val="009A5BC5"/>
    <w:rsid w:val="00AD1658"/>
    <w:rsid w:val="00AD77CC"/>
    <w:rsid w:val="00B474F4"/>
    <w:rsid w:val="00B51E4C"/>
    <w:rsid w:val="00E57218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4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B3"/>
  </w:style>
  <w:style w:type="paragraph" w:styleId="Piedepgina">
    <w:name w:val="footer"/>
    <w:basedOn w:val="Normal"/>
    <w:link w:val="Piedepgina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2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2023-08-21T19:57:00Z</dcterms:created>
  <dcterms:modified xsi:type="dcterms:W3CDTF">2024-04-06T08:45:00Z</dcterms:modified>
  <cp:category>www.DidacticosMx.com</cp:category>
</cp:coreProperties>
</file>